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0C3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1686AA9" w14:textId="77777777" w:rsidTr="005F7F7E">
        <w:tc>
          <w:tcPr>
            <w:tcW w:w="2438" w:type="dxa"/>
            <w:shd w:val="clear" w:color="auto" w:fill="auto"/>
          </w:tcPr>
          <w:p w14:paraId="0651A7F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5A5B6F4" w14:textId="77777777" w:rsidR="00F445B1" w:rsidRPr="00F95BC9" w:rsidRDefault="008D4BE8" w:rsidP="004A6D2F">
            <w:pPr>
              <w:rPr>
                <w:rStyle w:val="Firstpagetablebold"/>
              </w:rPr>
            </w:pPr>
            <w:r>
              <w:rPr>
                <w:rStyle w:val="Firstpagetablebold"/>
              </w:rPr>
              <w:t>Council</w:t>
            </w:r>
          </w:p>
        </w:tc>
      </w:tr>
      <w:tr w:rsidR="00CE544A" w:rsidRPr="00975B07" w14:paraId="68944D4D" w14:textId="77777777" w:rsidTr="005F7F7E">
        <w:tc>
          <w:tcPr>
            <w:tcW w:w="2438" w:type="dxa"/>
            <w:shd w:val="clear" w:color="auto" w:fill="auto"/>
          </w:tcPr>
          <w:p w14:paraId="5DD09BD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6F6E3F7" w14:textId="383660B0" w:rsidR="00F445B1" w:rsidRPr="001356F1" w:rsidRDefault="00287679" w:rsidP="005D0621">
            <w:pPr>
              <w:rPr>
                <w:b/>
              </w:rPr>
            </w:pPr>
            <w:r>
              <w:rPr>
                <w:b/>
              </w:rPr>
              <w:t>27 November 2023</w:t>
            </w:r>
          </w:p>
        </w:tc>
      </w:tr>
      <w:tr w:rsidR="00CE544A" w:rsidRPr="00975B07" w14:paraId="0F908EC9" w14:textId="77777777" w:rsidTr="005F7F7E">
        <w:tc>
          <w:tcPr>
            <w:tcW w:w="2438" w:type="dxa"/>
            <w:shd w:val="clear" w:color="auto" w:fill="auto"/>
          </w:tcPr>
          <w:p w14:paraId="1C66634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EFA9E1D" w14:textId="7DD1D57D" w:rsidR="00F445B1" w:rsidRPr="001356F1" w:rsidRDefault="00595F34" w:rsidP="00B304C9">
            <w:pPr>
              <w:rPr>
                <w:rStyle w:val="Firstpagetablebold"/>
              </w:rPr>
            </w:pPr>
            <w:r>
              <w:rPr>
                <w:rStyle w:val="Firstpagetablebold"/>
              </w:rPr>
              <w:t xml:space="preserve">Councillor Mark </w:t>
            </w:r>
            <w:proofErr w:type="spellStart"/>
            <w:r>
              <w:rPr>
                <w:rStyle w:val="Firstpagetablebold"/>
              </w:rPr>
              <w:t>Lygo</w:t>
            </w:r>
            <w:proofErr w:type="spellEnd"/>
            <w:r w:rsidR="00905DC7">
              <w:rPr>
                <w:rStyle w:val="Firstpagetablebold"/>
              </w:rPr>
              <w:t>, Cabinet Member for Safer</w:t>
            </w:r>
            <w:r w:rsidR="0066325F">
              <w:rPr>
                <w:rStyle w:val="Firstpagetablebold"/>
              </w:rPr>
              <w:t xml:space="preserve"> Communities</w:t>
            </w:r>
          </w:p>
        </w:tc>
      </w:tr>
      <w:tr w:rsidR="00CE544A" w:rsidRPr="00975B07" w14:paraId="0C031B86" w14:textId="77777777" w:rsidTr="005F7F7E">
        <w:tc>
          <w:tcPr>
            <w:tcW w:w="2438" w:type="dxa"/>
            <w:shd w:val="clear" w:color="auto" w:fill="auto"/>
          </w:tcPr>
          <w:p w14:paraId="37C27D1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B461E3F" w14:textId="77777777" w:rsidR="00F445B1" w:rsidRPr="001356F1" w:rsidRDefault="00A200B9" w:rsidP="00B304C9">
            <w:pPr>
              <w:rPr>
                <w:rStyle w:val="Firstpagetablebold"/>
              </w:rPr>
            </w:pPr>
            <w:r>
              <w:rPr>
                <w:rStyle w:val="Firstpagetablebold"/>
              </w:rPr>
              <w:t xml:space="preserve">Oxford Safer Communities Partnership </w:t>
            </w:r>
            <w:r w:rsidR="00ED16B1" w:rsidRPr="009138DD">
              <w:rPr>
                <w:rStyle w:val="Firstpagetablebold"/>
              </w:rPr>
              <w:t>(OSCP)</w:t>
            </w:r>
            <w:r w:rsidR="00ED16B1">
              <w:rPr>
                <w:rStyle w:val="Firstpagetablebold"/>
              </w:rPr>
              <w:t xml:space="preserve"> </w:t>
            </w:r>
            <w:r w:rsidR="00AF08D4">
              <w:rPr>
                <w:rStyle w:val="Firstpagetablebold"/>
              </w:rPr>
              <w:t xml:space="preserve">Annual </w:t>
            </w:r>
            <w:r>
              <w:rPr>
                <w:rStyle w:val="Firstpagetablebold"/>
              </w:rPr>
              <w:t>Update</w:t>
            </w:r>
            <w:r w:rsidR="00AF08D4">
              <w:rPr>
                <w:rStyle w:val="Firstpagetablebold"/>
              </w:rPr>
              <w:t xml:space="preserve"> 20</w:t>
            </w:r>
            <w:r w:rsidR="0066325F">
              <w:rPr>
                <w:rStyle w:val="Firstpagetablebold"/>
              </w:rPr>
              <w:t>2</w:t>
            </w:r>
            <w:r w:rsidR="00B304C9">
              <w:rPr>
                <w:rStyle w:val="Firstpagetablebold"/>
              </w:rPr>
              <w:t>2-23</w:t>
            </w:r>
          </w:p>
        </w:tc>
      </w:tr>
    </w:tbl>
    <w:p w14:paraId="6E43A5D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4C3FD600" w14:textId="77777777" w:rsidTr="0080749A">
        <w:tc>
          <w:tcPr>
            <w:tcW w:w="8845" w:type="dxa"/>
            <w:gridSpan w:val="2"/>
            <w:tcBorders>
              <w:bottom w:val="single" w:sz="8" w:space="0" w:color="000000"/>
            </w:tcBorders>
            <w:hideMark/>
          </w:tcPr>
          <w:p w14:paraId="343E11DB"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F041F1A" w14:textId="77777777" w:rsidTr="0080749A">
        <w:tc>
          <w:tcPr>
            <w:tcW w:w="2438" w:type="dxa"/>
            <w:tcBorders>
              <w:top w:val="single" w:sz="8" w:space="0" w:color="000000"/>
              <w:left w:val="single" w:sz="8" w:space="0" w:color="000000"/>
              <w:bottom w:val="nil"/>
              <w:right w:val="nil"/>
            </w:tcBorders>
            <w:hideMark/>
          </w:tcPr>
          <w:p w14:paraId="480196D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0058676" w14:textId="77777777" w:rsidR="00D5547E" w:rsidRPr="001356F1" w:rsidRDefault="00AF08D4" w:rsidP="00B304C9">
            <w:r>
              <w:t>Provide a summary of OSCP’s achievements in 20</w:t>
            </w:r>
            <w:r w:rsidR="0066325F">
              <w:t>2</w:t>
            </w:r>
            <w:r w:rsidR="00B304C9">
              <w:t>2-23</w:t>
            </w:r>
          </w:p>
        </w:tc>
      </w:tr>
      <w:tr w:rsidR="00D5547E" w14:paraId="525BCD56" w14:textId="77777777" w:rsidTr="0080749A">
        <w:tc>
          <w:tcPr>
            <w:tcW w:w="2438" w:type="dxa"/>
            <w:tcBorders>
              <w:top w:val="nil"/>
              <w:left w:val="single" w:sz="8" w:space="0" w:color="000000"/>
              <w:bottom w:val="nil"/>
              <w:right w:val="nil"/>
            </w:tcBorders>
            <w:hideMark/>
          </w:tcPr>
          <w:p w14:paraId="0C2A182B"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5EDE44A" w14:textId="77777777" w:rsidR="00D5547E" w:rsidRPr="001356F1" w:rsidRDefault="00905DC7" w:rsidP="005F7F7E">
            <w:r w:rsidRPr="009138DD">
              <w:rPr>
                <w:color w:val="auto"/>
              </w:rPr>
              <w:t>No</w:t>
            </w:r>
          </w:p>
        </w:tc>
      </w:tr>
      <w:tr w:rsidR="00D5547E" w14:paraId="6F6BA287" w14:textId="77777777" w:rsidTr="0080749A">
        <w:tc>
          <w:tcPr>
            <w:tcW w:w="2438" w:type="dxa"/>
            <w:tcBorders>
              <w:top w:val="nil"/>
              <w:left w:val="single" w:sz="8" w:space="0" w:color="000000"/>
              <w:bottom w:val="nil"/>
              <w:right w:val="nil"/>
            </w:tcBorders>
            <w:hideMark/>
          </w:tcPr>
          <w:p w14:paraId="26E15002" w14:textId="7847517A" w:rsidR="00D5547E" w:rsidRDefault="00287679">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2CC7288E" w14:textId="29D24FB3" w:rsidR="00D5547E" w:rsidRPr="001356F1" w:rsidRDefault="00AF08D4" w:rsidP="00B304C9">
            <w:r w:rsidRPr="00AF08D4">
              <w:t>Cllr</w:t>
            </w:r>
            <w:r w:rsidR="00B44AFE">
              <w:t xml:space="preserve"> Mark </w:t>
            </w:r>
            <w:proofErr w:type="spellStart"/>
            <w:r w:rsidR="00B44AFE">
              <w:t>Lygo</w:t>
            </w:r>
            <w:proofErr w:type="spellEnd"/>
            <w:r w:rsidRPr="00AF08D4">
              <w:t xml:space="preserve">, Cabinet </w:t>
            </w:r>
            <w:r w:rsidR="0066325F">
              <w:t>Member for</w:t>
            </w:r>
            <w:r w:rsidRPr="00AF08D4">
              <w:t xml:space="preserve"> Safer</w:t>
            </w:r>
            <w:r w:rsidR="0066325F">
              <w:t xml:space="preserve"> Communities</w:t>
            </w:r>
          </w:p>
        </w:tc>
      </w:tr>
      <w:tr w:rsidR="0080749A" w14:paraId="31149FD1" w14:textId="77777777" w:rsidTr="0080749A">
        <w:tc>
          <w:tcPr>
            <w:tcW w:w="2438" w:type="dxa"/>
            <w:tcBorders>
              <w:top w:val="nil"/>
              <w:left w:val="single" w:sz="8" w:space="0" w:color="000000"/>
              <w:bottom w:val="nil"/>
              <w:right w:val="nil"/>
            </w:tcBorders>
          </w:tcPr>
          <w:p w14:paraId="0F47182C"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576FEAA" w14:textId="77777777" w:rsidR="0080749A" w:rsidRPr="001356F1" w:rsidRDefault="00D47648" w:rsidP="00D47648">
            <w:r>
              <w:t>Strong and Active Communities</w:t>
            </w:r>
            <w:r w:rsidR="0080749A" w:rsidRPr="001356F1">
              <w:t>.</w:t>
            </w:r>
          </w:p>
        </w:tc>
      </w:tr>
      <w:tr w:rsidR="00D5547E" w14:paraId="3A6CC46B" w14:textId="77777777" w:rsidTr="0080749A">
        <w:tc>
          <w:tcPr>
            <w:tcW w:w="2438" w:type="dxa"/>
            <w:tcBorders>
              <w:top w:val="nil"/>
              <w:left w:val="single" w:sz="8" w:space="0" w:color="000000"/>
              <w:bottom w:val="nil"/>
              <w:right w:val="nil"/>
            </w:tcBorders>
            <w:hideMark/>
          </w:tcPr>
          <w:p w14:paraId="7F43E98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B626FED" w14:textId="77777777" w:rsidR="00D5547E" w:rsidRPr="001356F1" w:rsidRDefault="00D5547E" w:rsidP="005F7F7E"/>
        </w:tc>
      </w:tr>
      <w:tr w:rsidR="005F7F7E" w:rsidRPr="00975B07" w14:paraId="266314C2" w14:textId="77777777" w:rsidTr="00A46E98">
        <w:trPr>
          <w:trHeight w:val="413"/>
        </w:trPr>
        <w:tc>
          <w:tcPr>
            <w:tcW w:w="8845" w:type="dxa"/>
            <w:gridSpan w:val="2"/>
            <w:tcBorders>
              <w:bottom w:val="single" w:sz="8" w:space="0" w:color="000000"/>
            </w:tcBorders>
          </w:tcPr>
          <w:p w14:paraId="79B8174E" w14:textId="77777777" w:rsidR="005F7F7E" w:rsidRPr="00975B07" w:rsidRDefault="005F7F7E" w:rsidP="008D4BE8">
            <w:r>
              <w:rPr>
                <w:rStyle w:val="Firstpagetablebold"/>
              </w:rPr>
              <w:t>Recommendation(s):</w:t>
            </w:r>
            <w:r w:rsidR="00D47648">
              <w:rPr>
                <w:rStyle w:val="Firstpagetablebold"/>
              </w:rPr>
              <w:t xml:space="preserve"> </w:t>
            </w:r>
            <w:r w:rsidR="008D4BE8">
              <w:rPr>
                <w:rStyle w:val="Firstpagetablebold"/>
              </w:rPr>
              <w:t>Note the report</w:t>
            </w:r>
          </w:p>
        </w:tc>
      </w:tr>
    </w:tbl>
    <w:p w14:paraId="42200F0C"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66D42" w:rsidRPr="00975B07" w14:paraId="6415A204" w14:textId="77777777" w:rsidTr="00A46E98">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62EE1E84" w14:textId="2F35DE36" w:rsidR="00966D42" w:rsidRPr="00975B07" w:rsidRDefault="00966D42" w:rsidP="003A087D">
            <w:r w:rsidRPr="00745BF0">
              <w:rPr>
                <w:rStyle w:val="Firstpagetablebold"/>
              </w:rPr>
              <w:t>Appendices</w:t>
            </w:r>
            <w:r w:rsidR="00D47648">
              <w:rPr>
                <w:rStyle w:val="Firstpagetablebold"/>
              </w:rPr>
              <w:t xml:space="preserve">: </w:t>
            </w:r>
            <w:r w:rsidR="004F437B">
              <w:rPr>
                <w:rStyle w:val="Firstpagetablebold"/>
              </w:rPr>
              <w:t>No</w:t>
            </w:r>
            <w:r w:rsidR="00287679">
              <w:rPr>
                <w:rStyle w:val="Firstpagetablebold"/>
              </w:rPr>
              <w:t>ne</w:t>
            </w:r>
          </w:p>
        </w:tc>
      </w:tr>
    </w:tbl>
    <w:p w14:paraId="2CF55B28"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5BB6CFFE" w14:textId="6E49B46D" w:rsidR="00C837E7" w:rsidRDefault="00C837E7" w:rsidP="00C837E7">
      <w:pPr>
        <w:pStyle w:val="ColorfulList-Accent11"/>
        <w:numPr>
          <w:ilvl w:val="0"/>
          <w:numId w:val="9"/>
        </w:numPr>
        <w:tabs>
          <w:tab w:val="clear" w:pos="426"/>
        </w:tabs>
      </w:pPr>
      <w:r w:rsidRPr="00C837E7">
        <w:t xml:space="preserve">Oxford Safer Communities Partnership (OSCP) is </w:t>
      </w:r>
      <w:r w:rsidR="00BB6AEC">
        <w:t>Oxford’s statutory partnership to address local community safety priorities in the city.</w:t>
      </w:r>
      <w:r w:rsidRPr="00C837E7">
        <w:t xml:space="preserve"> It </w:t>
      </w:r>
      <w:r w:rsidR="00BB6AEC">
        <w:t>is responsible for plans to</w:t>
      </w:r>
      <w:r w:rsidRPr="00C837E7">
        <w:t xml:space="preserve"> reduc</w:t>
      </w:r>
      <w:r w:rsidR="00BB6AEC">
        <w:t>e</w:t>
      </w:r>
      <w:r w:rsidRPr="00C837E7">
        <w:t xml:space="preserve"> the fear of crime, minimis</w:t>
      </w:r>
      <w:r w:rsidR="00BB6AEC">
        <w:t>e</w:t>
      </w:r>
      <w:r w:rsidRPr="00C837E7">
        <w:t xml:space="preserve"> the likelihood of becoming a victim of crime and address community safety concerns to improve the lives of our residents, </w:t>
      </w:r>
      <w:proofErr w:type="gramStart"/>
      <w:r w:rsidRPr="00C837E7">
        <w:t>businesses</w:t>
      </w:r>
      <w:proofErr w:type="gramEnd"/>
      <w:r w:rsidRPr="00C837E7">
        <w:t xml:space="preserve"> and visitors</w:t>
      </w:r>
      <w:r w:rsidR="00BB6AEC">
        <w:t>.</w:t>
      </w:r>
    </w:p>
    <w:p w14:paraId="0F562189" w14:textId="4E266E7E" w:rsidR="00A200B9" w:rsidRDefault="001E2997" w:rsidP="001E2997">
      <w:pPr>
        <w:pStyle w:val="ColorfulList-Accent11"/>
        <w:numPr>
          <w:ilvl w:val="0"/>
          <w:numId w:val="9"/>
        </w:numPr>
        <w:tabs>
          <w:tab w:val="clear" w:pos="426"/>
        </w:tabs>
      </w:pPr>
      <w:r w:rsidRPr="001E2997">
        <w:t xml:space="preserve">Oxford City </w:t>
      </w:r>
      <w:r w:rsidR="00BB6AEC">
        <w:t>Council</w:t>
      </w:r>
      <w:r w:rsidRPr="001E2997">
        <w:t xml:space="preserve"> chair</w:t>
      </w:r>
      <w:r w:rsidR="00BB6AEC">
        <w:t xml:space="preserve"> and facilitate </w:t>
      </w:r>
      <w:r w:rsidRPr="001E2997">
        <w:t>the partnership</w:t>
      </w:r>
      <w:r w:rsidR="00BB6AEC">
        <w:t xml:space="preserve"> which</w:t>
      </w:r>
      <w:r w:rsidR="00312A14">
        <w:t xml:space="preserve"> meets on a quarterly basis to </w:t>
      </w:r>
      <w:r>
        <w:t xml:space="preserve">review </w:t>
      </w:r>
      <w:r w:rsidR="00BB6AEC">
        <w:t>the priority plans and identify emerging risks within the city.</w:t>
      </w:r>
    </w:p>
    <w:p w14:paraId="76514B93" w14:textId="600292A0" w:rsidR="00312A14" w:rsidRDefault="001E2997" w:rsidP="009B40DF">
      <w:pPr>
        <w:pStyle w:val="ColorfulList-Accent11"/>
        <w:numPr>
          <w:ilvl w:val="0"/>
          <w:numId w:val="9"/>
        </w:numPr>
        <w:tabs>
          <w:tab w:val="clear" w:pos="426"/>
        </w:tabs>
      </w:pPr>
      <w:r>
        <w:t xml:space="preserve">OSCP </w:t>
      </w:r>
      <w:r w:rsidR="00B43D01">
        <w:t>Partnership</w:t>
      </w:r>
      <w:r>
        <w:t xml:space="preserve"> Board is made up of representatives from</w:t>
      </w:r>
      <w:r w:rsidR="009304B1">
        <w:t>:</w:t>
      </w:r>
    </w:p>
    <w:p w14:paraId="0717F122" w14:textId="77777777" w:rsidR="00312A14" w:rsidRDefault="004646B3" w:rsidP="009B40DF">
      <w:pPr>
        <w:pStyle w:val="ColorfulList-Accent11"/>
        <w:numPr>
          <w:ilvl w:val="1"/>
          <w:numId w:val="10"/>
        </w:numPr>
        <w:tabs>
          <w:tab w:val="clear" w:pos="426"/>
        </w:tabs>
      </w:pPr>
      <w:r>
        <w:t>Oxford Local Police Area</w:t>
      </w:r>
      <w:r w:rsidR="00F70148">
        <w:t xml:space="preserve"> </w:t>
      </w:r>
    </w:p>
    <w:p w14:paraId="3C8A6125" w14:textId="77777777" w:rsidR="00DF0620" w:rsidRDefault="004646B3" w:rsidP="009B40DF">
      <w:pPr>
        <w:pStyle w:val="ColorfulList-Accent11"/>
        <w:numPr>
          <w:ilvl w:val="1"/>
          <w:numId w:val="10"/>
        </w:numPr>
      </w:pPr>
      <w:r>
        <w:t>Oxfordshire County Council</w:t>
      </w:r>
      <w:r w:rsidR="00A200B9">
        <w:t xml:space="preserve">’s Youth Justice </w:t>
      </w:r>
      <w:r w:rsidR="0066325F">
        <w:t xml:space="preserve">and Exploitation </w:t>
      </w:r>
      <w:r w:rsidR="00A200B9">
        <w:t>Service</w:t>
      </w:r>
      <w:r w:rsidR="00CB5BC0">
        <w:t xml:space="preserve">, </w:t>
      </w:r>
      <w:r w:rsidR="00DF0620">
        <w:t>Fire &amp; Rescue Service</w:t>
      </w:r>
      <w:r w:rsidR="00A200B9">
        <w:t xml:space="preserve">, </w:t>
      </w:r>
      <w:r w:rsidR="00B20FF6">
        <w:t xml:space="preserve">Trading Standards, </w:t>
      </w:r>
      <w:r w:rsidR="00DF0620">
        <w:t xml:space="preserve">and </w:t>
      </w:r>
      <w:r w:rsidR="0066325F">
        <w:t>Child</w:t>
      </w:r>
      <w:r w:rsidR="00A200B9">
        <w:t xml:space="preserve"> and Adult Social Care Services</w:t>
      </w:r>
    </w:p>
    <w:p w14:paraId="23BDA056" w14:textId="77777777" w:rsidR="00DF0620" w:rsidRDefault="0066325F" w:rsidP="009B40DF">
      <w:pPr>
        <w:pStyle w:val="ColorfulList-Accent11"/>
        <w:numPr>
          <w:ilvl w:val="1"/>
          <w:numId w:val="10"/>
        </w:numPr>
      </w:pPr>
      <w:r>
        <w:t xml:space="preserve">National </w:t>
      </w:r>
      <w:r w:rsidR="00DF0620">
        <w:t>Probation Service</w:t>
      </w:r>
    </w:p>
    <w:p w14:paraId="3CBCB931" w14:textId="77777777" w:rsidR="00DF0620" w:rsidRDefault="004646B3" w:rsidP="009B40DF">
      <w:pPr>
        <w:pStyle w:val="ColorfulList-Accent11"/>
        <w:numPr>
          <w:ilvl w:val="1"/>
          <w:numId w:val="10"/>
        </w:numPr>
      </w:pPr>
      <w:r>
        <w:lastRenderedPageBreak/>
        <w:t>Oxford University Hospital</w:t>
      </w:r>
      <w:r w:rsidR="0066325F">
        <w:t>s NHS Foundation</w:t>
      </w:r>
      <w:r>
        <w:t xml:space="preserve"> Trust</w:t>
      </w:r>
      <w:r w:rsidR="00F70148">
        <w:t xml:space="preserve">, </w:t>
      </w:r>
    </w:p>
    <w:p w14:paraId="2F195E40" w14:textId="77777777" w:rsidR="00DF0620" w:rsidRDefault="00CB5BC0" w:rsidP="009B40DF">
      <w:pPr>
        <w:pStyle w:val="ColorfulList-Accent11"/>
        <w:numPr>
          <w:ilvl w:val="1"/>
          <w:numId w:val="10"/>
        </w:numPr>
      </w:pPr>
      <w:r>
        <w:t>Oxfordshire Clinical Commissioning Group</w:t>
      </w:r>
      <w:r w:rsidR="00F70148">
        <w:t xml:space="preserve">, </w:t>
      </w:r>
    </w:p>
    <w:p w14:paraId="7B4181BB" w14:textId="77777777" w:rsidR="00DF0620" w:rsidRDefault="00A200B9" w:rsidP="009B40DF">
      <w:pPr>
        <w:pStyle w:val="ColorfulList-Accent11"/>
        <w:numPr>
          <w:ilvl w:val="1"/>
          <w:numId w:val="10"/>
        </w:numPr>
      </w:pPr>
      <w:r>
        <w:t>Office of the Police and Crime Commissioner</w:t>
      </w:r>
      <w:r w:rsidR="00F70148">
        <w:t xml:space="preserve">, </w:t>
      </w:r>
    </w:p>
    <w:p w14:paraId="1B1AE3E3" w14:textId="77777777" w:rsidR="00DF0620" w:rsidRDefault="00A200B9" w:rsidP="009B40DF">
      <w:pPr>
        <w:pStyle w:val="ColorfulList-Accent11"/>
        <w:numPr>
          <w:ilvl w:val="1"/>
          <w:numId w:val="10"/>
        </w:numPr>
      </w:pPr>
      <w:r>
        <w:t>Oxford Brookes University</w:t>
      </w:r>
      <w:r w:rsidR="00F70148">
        <w:t xml:space="preserve"> </w:t>
      </w:r>
    </w:p>
    <w:p w14:paraId="71A5462A" w14:textId="77777777" w:rsidR="00DF0620" w:rsidRDefault="00DF0620" w:rsidP="009B40DF">
      <w:pPr>
        <w:pStyle w:val="ColorfulList-Accent11"/>
        <w:numPr>
          <w:ilvl w:val="1"/>
          <w:numId w:val="10"/>
        </w:numPr>
      </w:pPr>
      <w:r>
        <w:t xml:space="preserve">University of Oxford </w:t>
      </w:r>
    </w:p>
    <w:p w14:paraId="6C81BD21" w14:textId="77777777" w:rsidR="00CB5BC0" w:rsidRDefault="00CB5BC0" w:rsidP="009B40DF">
      <w:pPr>
        <w:pStyle w:val="ColorfulList-Accent11"/>
        <w:numPr>
          <w:ilvl w:val="1"/>
          <w:numId w:val="10"/>
        </w:numPr>
      </w:pPr>
      <w:r>
        <w:t>Turning Point</w:t>
      </w:r>
    </w:p>
    <w:p w14:paraId="48418F34" w14:textId="35627C47" w:rsidR="00ED16B1" w:rsidRPr="00ED16B1" w:rsidRDefault="00ED16B1" w:rsidP="00ED16B1">
      <w:pPr>
        <w:pStyle w:val="ColorfulList-Accent11"/>
        <w:numPr>
          <w:ilvl w:val="0"/>
          <w:numId w:val="0"/>
        </w:numPr>
        <w:tabs>
          <w:tab w:val="clear" w:pos="426"/>
        </w:tabs>
        <w:ind w:left="360" w:hanging="360"/>
        <w:rPr>
          <w:b/>
          <w:color w:val="221F1F"/>
          <w:spacing w:val="-3"/>
        </w:rPr>
      </w:pPr>
      <w:r w:rsidRPr="00ED16B1">
        <w:rPr>
          <w:b/>
          <w:color w:val="221F1F"/>
          <w:spacing w:val="-3"/>
        </w:rPr>
        <w:t xml:space="preserve">OSCP </w:t>
      </w:r>
      <w:r>
        <w:rPr>
          <w:b/>
          <w:color w:val="221F1F"/>
          <w:spacing w:val="-3"/>
        </w:rPr>
        <w:t>achievements 202</w:t>
      </w:r>
      <w:r w:rsidR="009304B1">
        <w:rPr>
          <w:b/>
          <w:color w:val="221F1F"/>
          <w:spacing w:val="-3"/>
        </w:rPr>
        <w:t>2</w:t>
      </w:r>
      <w:r>
        <w:rPr>
          <w:b/>
          <w:color w:val="221F1F"/>
          <w:spacing w:val="-3"/>
        </w:rPr>
        <w:t>-2</w:t>
      </w:r>
      <w:r w:rsidR="009304B1">
        <w:rPr>
          <w:b/>
          <w:color w:val="221F1F"/>
          <w:spacing w:val="-3"/>
        </w:rPr>
        <w:t>3</w:t>
      </w:r>
    </w:p>
    <w:p w14:paraId="161F8D3E" w14:textId="77777777" w:rsidR="0087787F" w:rsidRPr="004F437B" w:rsidRDefault="00B20FF6" w:rsidP="009B40DF">
      <w:pPr>
        <w:pStyle w:val="ColorfulList-Accent11"/>
        <w:numPr>
          <w:ilvl w:val="0"/>
          <w:numId w:val="9"/>
        </w:numPr>
        <w:tabs>
          <w:tab w:val="clear" w:pos="426"/>
        </w:tabs>
        <w:rPr>
          <w:color w:val="221F1F"/>
          <w:spacing w:val="-3"/>
        </w:rPr>
      </w:pPr>
      <w:r w:rsidRPr="00B20FF6">
        <w:t xml:space="preserve">Each financial year </w:t>
      </w:r>
      <w:r w:rsidR="005C119F" w:rsidRPr="00B20FF6">
        <w:t>OSCP agree</w:t>
      </w:r>
      <w:r w:rsidR="003A2FFE" w:rsidRPr="00B20FF6">
        <w:t>s</w:t>
      </w:r>
      <w:r w:rsidR="00B51E7D" w:rsidRPr="00B20FF6">
        <w:t xml:space="preserve"> a set of</w:t>
      </w:r>
      <w:r w:rsidR="005C119F" w:rsidRPr="00B20FF6">
        <w:t xml:space="preserve"> </w:t>
      </w:r>
      <w:r w:rsidR="003A2FFE" w:rsidRPr="00B20FF6">
        <w:t xml:space="preserve">annual </w:t>
      </w:r>
      <w:r w:rsidR="005C119F" w:rsidRPr="00B20FF6">
        <w:t>priorities</w:t>
      </w:r>
      <w:r w:rsidR="0087787F">
        <w:t xml:space="preserve"> based on a Strategic Intelligence Assessment (SIA) of </w:t>
      </w:r>
      <w:r w:rsidRPr="00B20FF6">
        <w:t>crime and disorder</w:t>
      </w:r>
      <w:r w:rsidR="0087787F">
        <w:t xml:space="preserve"> in the city.  The SIA, and an interactive crime dashboard can be found on the Oxfordshire Insight website</w:t>
      </w:r>
      <w:r w:rsidR="004F437B">
        <w:t>:</w:t>
      </w:r>
    </w:p>
    <w:p w14:paraId="2694BF93" w14:textId="4A219CF5" w:rsidR="001E2997" w:rsidRPr="005E361F" w:rsidRDefault="00595F34" w:rsidP="001E2997">
      <w:pPr>
        <w:pStyle w:val="ColorfulList-Accent11"/>
        <w:numPr>
          <w:ilvl w:val="0"/>
          <w:numId w:val="9"/>
        </w:numPr>
        <w:tabs>
          <w:tab w:val="clear" w:pos="426"/>
        </w:tabs>
        <w:rPr>
          <w:rFonts w:cs="Arial"/>
          <w:color w:val="221F1F"/>
          <w:spacing w:val="-3"/>
        </w:rPr>
      </w:pPr>
      <w:hyperlink r:id="rId8" w:history="1">
        <w:r w:rsidR="005E361F" w:rsidRPr="008728FF">
          <w:rPr>
            <w:rStyle w:val="Hyperlink"/>
            <w:spacing w:val="-3"/>
          </w:rPr>
          <w:t>https://insight.oxfordshire.gov.uk/cms/system/files/documents/OxonSIA2023_FINAL.pdf</w:t>
        </w:r>
      </w:hyperlink>
    </w:p>
    <w:p w14:paraId="26DEFBE4" w14:textId="47AC31DD" w:rsidR="009127CF" w:rsidRDefault="009127CF" w:rsidP="009127CF">
      <w:pPr>
        <w:pStyle w:val="ColorfulList-Accent11"/>
        <w:numPr>
          <w:ilvl w:val="0"/>
          <w:numId w:val="9"/>
        </w:numPr>
        <w:tabs>
          <w:tab w:val="clear" w:pos="426"/>
        </w:tabs>
        <w:rPr>
          <w:rFonts w:cs="Arial"/>
          <w:color w:val="221F1F"/>
          <w:spacing w:val="-3"/>
        </w:rPr>
      </w:pPr>
      <w:r>
        <w:rPr>
          <w:rFonts w:cs="Arial"/>
          <w:color w:val="221F1F"/>
          <w:spacing w:val="-3"/>
        </w:rPr>
        <w:t xml:space="preserve">To view crime types by neighbourhood, an interactive map is included within the Oxfordshire Insight website.  </w:t>
      </w:r>
    </w:p>
    <w:p w14:paraId="3401C427" w14:textId="71568200" w:rsidR="009127CF" w:rsidRDefault="00595F34" w:rsidP="009127CF">
      <w:pPr>
        <w:pStyle w:val="ColorfulList-Accent11"/>
        <w:numPr>
          <w:ilvl w:val="0"/>
          <w:numId w:val="0"/>
        </w:numPr>
        <w:tabs>
          <w:tab w:val="clear" w:pos="426"/>
        </w:tabs>
        <w:ind w:left="360"/>
        <w:rPr>
          <w:rFonts w:cs="Arial"/>
          <w:color w:val="221F1F"/>
          <w:spacing w:val="-3"/>
        </w:rPr>
      </w:pPr>
      <w:hyperlink r:id="rId9" w:anchor="2" w:history="1">
        <w:r w:rsidR="009127CF" w:rsidRPr="008728FF">
          <w:rPr>
            <w:rStyle w:val="Hyperlink"/>
            <w:rFonts w:cs="Arial"/>
            <w:spacing w:val="-3"/>
          </w:rPr>
          <w:t>https://public.tableau.com/views/OxfordshireCrimeDashboard/Explorelocal?embed=y%3Adisplay_count&amp;%3AshowVizHome=no%20#2</w:t>
        </w:r>
      </w:hyperlink>
    </w:p>
    <w:p w14:paraId="14AAD502" w14:textId="60A20565" w:rsidR="00ED16B1" w:rsidRDefault="009360C8" w:rsidP="001E2997">
      <w:pPr>
        <w:pStyle w:val="ColorfulList-Accent11"/>
        <w:numPr>
          <w:ilvl w:val="0"/>
          <w:numId w:val="9"/>
        </w:numPr>
        <w:tabs>
          <w:tab w:val="clear" w:pos="426"/>
        </w:tabs>
        <w:rPr>
          <w:rFonts w:cs="Arial"/>
          <w:color w:val="221F1F"/>
          <w:spacing w:val="-3"/>
        </w:rPr>
      </w:pPr>
      <w:r>
        <w:rPr>
          <w:rFonts w:cs="Arial"/>
          <w:color w:val="221F1F"/>
          <w:spacing w:val="-3"/>
        </w:rPr>
        <w:t xml:space="preserve">The following section provides an overview of some of the work the partnership </w:t>
      </w:r>
      <w:r w:rsidR="00B43D01">
        <w:rPr>
          <w:rFonts w:cs="Arial"/>
          <w:color w:val="221F1F"/>
          <w:spacing w:val="-3"/>
        </w:rPr>
        <w:t>undertook in</w:t>
      </w:r>
      <w:r>
        <w:rPr>
          <w:rFonts w:cs="Arial"/>
          <w:color w:val="221F1F"/>
          <w:spacing w:val="-3"/>
        </w:rPr>
        <w:t xml:space="preserve"> 2022-23.  </w:t>
      </w:r>
    </w:p>
    <w:p w14:paraId="78BA6DDD" w14:textId="28A618A3" w:rsidR="002472EE" w:rsidRPr="009304B1" w:rsidRDefault="009304B1" w:rsidP="009304B1">
      <w:pPr>
        <w:pStyle w:val="ColorfulList-Accent11"/>
        <w:numPr>
          <w:ilvl w:val="0"/>
          <w:numId w:val="0"/>
        </w:numPr>
        <w:rPr>
          <w:b/>
          <w:bCs/>
          <w:color w:val="221F1F"/>
          <w:spacing w:val="-3"/>
        </w:rPr>
      </w:pPr>
      <w:r w:rsidRPr="009304B1">
        <w:rPr>
          <w:b/>
          <w:bCs/>
          <w:color w:val="221F1F"/>
          <w:spacing w:val="-3"/>
        </w:rPr>
        <w:t xml:space="preserve">Tackling alcohol-related disorder - </w:t>
      </w:r>
      <w:proofErr w:type="spellStart"/>
      <w:r w:rsidR="002472EE" w:rsidRPr="009304B1">
        <w:rPr>
          <w:b/>
          <w:bCs/>
          <w:color w:val="221F1F"/>
          <w:spacing w:val="-3"/>
        </w:rPr>
        <w:t>NightSafe</w:t>
      </w:r>
      <w:proofErr w:type="spellEnd"/>
    </w:p>
    <w:p w14:paraId="2315A3B5" w14:textId="77777777" w:rsidR="002472EE" w:rsidRDefault="00FA0125" w:rsidP="009304B1">
      <w:pPr>
        <w:pStyle w:val="ColorfulList-Accent11"/>
        <w:numPr>
          <w:ilvl w:val="0"/>
          <w:numId w:val="9"/>
        </w:numPr>
        <w:rPr>
          <w:color w:val="221F1F"/>
          <w:spacing w:val="-3"/>
        </w:rPr>
      </w:pPr>
      <w:r>
        <w:rPr>
          <w:color w:val="221F1F"/>
          <w:spacing w:val="-3"/>
        </w:rPr>
        <w:t xml:space="preserve">Continuing the successful launch of the Safer Streets project in 2022, the </w:t>
      </w:r>
      <w:proofErr w:type="spellStart"/>
      <w:r>
        <w:rPr>
          <w:color w:val="221F1F"/>
          <w:spacing w:val="-3"/>
        </w:rPr>
        <w:t>NightSafe</w:t>
      </w:r>
      <w:proofErr w:type="spellEnd"/>
      <w:r>
        <w:rPr>
          <w:color w:val="221F1F"/>
          <w:spacing w:val="-3"/>
        </w:rPr>
        <w:t xml:space="preserve"> Oxford Programme continued to address alcohol-related violence and anti-social behaviour within the night-time economy, with a particular focus on reducing the risk of harm to women and girls.</w:t>
      </w:r>
      <w:r w:rsidR="002472EE">
        <w:rPr>
          <w:color w:val="221F1F"/>
          <w:spacing w:val="-3"/>
        </w:rPr>
        <w:t xml:space="preserve">  </w:t>
      </w:r>
    </w:p>
    <w:p w14:paraId="10362A4D" w14:textId="586EB478" w:rsidR="002472EE" w:rsidRDefault="002F04D3" w:rsidP="009304B1">
      <w:pPr>
        <w:pStyle w:val="ColorfulList-Accent11"/>
        <w:numPr>
          <w:ilvl w:val="0"/>
          <w:numId w:val="9"/>
        </w:numPr>
        <w:rPr>
          <w:color w:val="221F1F"/>
          <w:spacing w:val="-3"/>
        </w:rPr>
      </w:pPr>
      <w:r>
        <w:rPr>
          <w:color w:val="221F1F"/>
          <w:spacing w:val="-3"/>
        </w:rPr>
        <w:t xml:space="preserve">The collaborative approach includes </w:t>
      </w:r>
      <w:r w:rsidR="002472EE" w:rsidRPr="002472EE">
        <w:rPr>
          <w:color w:val="221F1F"/>
          <w:spacing w:val="-3"/>
        </w:rPr>
        <w:t>the Police, Oxfordshire County Council, Oxford City Council, Oxford University, Oxford Brookes University, voluntary groups such as the Street Pastors and Oxford City Angels, and venues operating in the night</w:t>
      </w:r>
      <w:r w:rsidR="00B43D01">
        <w:rPr>
          <w:color w:val="221F1F"/>
          <w:spacing w:val="-3"/>
        </w:rPr>
        <w:t>-</w:t>
      </w:r>
      <w:r w:rsidR="002472EE" w:rsidRPr="002472EE">
        <w:rPr>
          <w:color w:val="221F1F"/>
          <w:spacing w:val="-3"/>
        </w:rPr>
        <w:t>time economy.</w:t>
      </w:r>
    </w:p>
    <w:p w14:paraId="090193C2" w14:textId="6AE7FC54" w:rsidR="00A517EE" w:rsidRDefault="00B43D01" w:rsidP="009304B1">
      <w:pPr>
        <w:pStyle w:val="ColorfulList-Accent11"/>
        <w:numPr>
          <w:ilvl w:val="0"/>
          <w:numId w:val="9"/>
        </w:numPr>
        <w:rPr>
          <w:color w:val="221F1F"/>
          <w:spacing w:val="-3"/>
        </w:rPr>
      </w:pPr>
      <w:r>
        <w:rPr>
          <w:color w:val="221F1F"/>
          <w:spacing w:val="-3"/>
        </w:rPr>
        <w:t>Each weekend</w:t>
      </w:r>
      <w:r w:rsidR="002472EE">
        <w:rPr>
          <w:color w:val="221F1F"/>
          <w:spacing w:val="-3"/>
        </w:rPr>
        <w:t xml:space="preserve"> the police </w:t>
      </w:r>
      <w:r>
        <w:rPr>
          <w:color w:val="221F1F"/>
          <w:spacing w:val="-3"/>
        </w:rPr>
        <w:t>brief</w:t>
      </w:r>
      <w:r w:rsidR="00A517EE">
        <w:rPr>
          <w:color w:val="221F1F"/>
          <w:spacing w:val="-3"/>
        </w:rPr>
        <w:t xml:space="preserve"> partners</w:t>
      </w:r>
      <w:r>
        <w:rPr>
          <w:color w:val="221F1F"/>
          <w:spacing w:val="-3"/>
        </w:rPr>
        <w:t xml:space="preserve"> on</w:t>
      </w:r>
      <w:r w:rsidR="00A517EE">
        <w:rPr>
          <w:color w:val="221F1F"/>
          <w:spacing w:val="-3"/>
        </w:rPr>
        <w:t xml:space="preserve"> the number of police officers for the evening and any intelligence the police wish to raise.  This could be large events occurring on the night, unwanted groups gathering in the city centre or East Oxford and any persons the police are seeking.  </w:t>
      </w:r>
    </w:p>
    <w:p w14:paraId="1F874551" w14:textId="79F59877" w:rsidR="00530F2D" w:rsidRDefault="00530F2D" w:rsidP="009304B1">
      <w:pPr>
        <w:pStyle w:val="ColorfulList-Accent11"/>
        <w:numPr>
          <w:ilvl w:val="0"/>
          <w:numId w:val="9"/>
        </w:numPr>
        <w:rPr>
          <w:color w:val="221F1F"/>
          <w:spacing w:val="-3"/>
        </w:rPr>
      </w:pPr>
      <w:r>
        <w:rPr>
          <w:color w:val="221F1F"/>
          <w:spacing w:val="-3"/>
        </w:rPr>
        <w:t xml:space="preserve">During 2022-23, the police undertook </w:t>
      </w:r>
      <w:r w:rsidR="00B43D01">
        <w:rPr>
          <w:color w:val="221F1F"/>
          <w:spacing w:val="-3"/>
        </w:rPr>
        <w:t>Project</w:t>
      </w:r>
      <w:r>
        <w:rPr>
          <w:color w:val="221F1F"/>
          <w:spacing w:val="-3"/>
        </w:rPr>
        <w:t xml:space="preserve"> Vigilant which targets known offenders of sexual violence within the </w:t>
      </w:r>
      <w:r w:rsidR="00B43D01">
        <w:rPr>
          <w:color w:val="221F1F"/>
          <w:spacing w:val="-3"/>
        </w:rPr>
        <w:t>night-time</w:t>
      </w:r>
      <w:r>
        <w:rPr>
          <w:color w:val="221F1F"/>
          <w:spacing w:val="-3"/>
        </w:rPr>
        <w:t xml:space="preserve"> economy.  </w:t>
      </w:r>
    </w:p>
    <w:p w14:paraId="65ADE814" w14:textId="5C9242B7" w:rsidR="005B7287" w:rsidRPr="00287679" w:rsidRDefault="00B43D01" w:rsidP="00CC750D">
      <w:pPr>
        <w:pStyle w:val="ColorfulList-Accent11"/>
        <w:numPr>
          <w:ilvl w:val="0"/>
          <w:numId w:val="9"/>
        </w:numPr>
        <w:rPr>
          <w:color w:val="221F1F"/>
          <w:spacing w:val="-3"/>
        </w:rPr>
      </w:pPr>
      <w:r w:rsidRPr="00287679">
        <w:rPr>
          <w:color w:val="221F1F"/>
          <w:spacing w:val="-3"/>
        </w:rPr>
        <w:t xml:space="preserve">Thames Valley Police operate the CCTV system on behalf of Oxford City Council.  </w:t>
      </w:r>
      <w:r w:rsidR="00924676" w:rsidRPr="00287679">
        <w:rPr>
          <w:color w:val="221F1F"/>
          <w:spacing w:val="-3"/>
        </w:rPr>
        <w:t xml:space="preserve">Oxford has public spaces CCTV </w:t>
      </w:r>
      <w:r w:rsidRPr="00287679">
        <w:rPr>
          <w:color w:val="221F1F"/>
          <w:spacing w:val="-3"/>
        </w:rPr>
        <w:t>in the city centre (44), East Oxford, Barton, Temple Cowley, Wood Farm</w:t>
      </w:r>
      <w:r w:rsidR="001368D3" w:rsidRPr="00287679">
        <w:rPr>
          <w:color w:val="221F1F"/>
          <w:spacing w:val="-3"/>
        </w:rPr>
        <w:t xml:space="preserve"> and Blackbird Leys</w:t>
      </w:r>
      <w:r w:rsidR="00924676" w:rsidRPr="00287679">
        <w:rPr>
          <w:color w:val="221F1F"/>
          <w:spacing w:val="-3"/>
        </w:rPr>
        <w:t xml:space="preserve">.  </w:t>
      </w:r>
      <w:r w:rsidRPr="00287679">
        <w:rPr>
          <w:color w:val="221F1F"/>
          <w:spacing w:val="-3"/>
        </w:rPr>
        <w:t>Partners have a 2-way radio and can provide information back to the police via the CCTV suite (Brava Victor)</w:t>
      </w:r>
    </w:p>
    <w:p w14:paraId="75441F68" w14:textId="60C74277" w:rsidR="00287679" w:rsidRDefault="00287679" w:rsidP="009304B1">
      <w:pPr>
        <w:pStyle w:val="ColorfulList-Accent11"/>
        <w:numPr>
          <w:ilvl w:val="0"/>
          <w:numId w:val="9"/>
        </w:numPr>
        <w:rPr>
          <w:color w:val="221F1F"/>
          <w:spacing w:val="-3"/>
        </w:rPr>
      </w:pPr>
      <w:r w:rsidRPr="00287679">
        <w:rPr>
          <w:color w:val="221F1F"/>
          <w:spacing w:val="-3"/>
        </w:rPr>
        <w:t>In 2021, 25 cameras were upgraded by the Council within the city centre.  A further three cameras were upgraded in 2022.  The upgrade of cameras across Oxford will continue in 2023.</w:t>
      </w:r>
    </w:p>
    <w:p w14:paraId="574DBBA7" w14:textId="281F3A96" w:rsidR="00287679" w:rsidRDefault="00287679" w:rsidP="00287679">
      <w:pPr>
        <w:pStyle w:val="ColorfulList-Accent11"/>
        <w:numPr>
          <w:ilvl w:val="0"/>
          <w:numId w:val="0"/>
        </w:numPr>
        <w:jc w:val="center"/>
        <w:rPr>
          <w:color w:val="221F1F"/>
          <w:spacing w:val="-3"/>
        </w:rPr>
      </w:pPr>
      <w:r w:rsidRPr="00287679">
        <w:rPr>
          <w:noProof/>
          <w:color w:val="221F1F"/>
          <w:spacing w:val="-3"/>
        </w:rPr>
        <w:lastRenderedPageBreak/>
        <w:drawing>
          <wp:inline distT="0" distB="0" distL="0" distR="0" wp14:anchorId="511755FF" wp14:editId="074AF8BF">
            <wp:extent cx="5454000" cy="38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TV_City Centre Map_Pag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54000" cy="3855600"/>
                    </a:xfrm>
                    <a:prstGeom prst="rect">
                      <a:avLst/>
                    </a:prstGeom>
                  </pic:spPr>
                </pic:pic>
              </a:graphicData>
            </a:graphic>
          </wp:inline>
        </w:drawing>
      </w:r>
    </w:p>
    <w:p w14:paraId="15709D8A" w14:textId="4151AC19" w:rsidR="00A517EE" w:rsidRDefault="00A517EE" w:rsidP="009304B1">
      <w:pPr>
        <w:pStyle w:val="ColorfulList-Accent11"/>
        <w:numPr>
          <w:ilvl w:val="0"/>
          <w:numId w:val="9"/>
        </w:numPr>
        <w:rPr>
          <w:color w:val="221F1F"/>
          <w:spacing w:val="-3"/>
        </w:rPr>
      </w:pPr>
      <w:r>
        <w:rPr>
          <w:color w:val="221F1F"/>
          <w:spacing w:val="-3"/>
        </w:rPr>
        <w:t xml:space="preserve">Street Pastors and </w:t>
      </w:r>
      <w:r w:rsidR="001368D3">
        <w:rPr>
          <w:color w:val="221F1F"/>
          <w:spacing w:val="-3"/>
        </w:rPr>
        <w:t xml:space="preserve">Oxford </w:t>
      </w:r>
      <w:r>
        <w:rPr>
          <w:color w:val="221F1F"/>
          <w:spacing w:val="-3"/>
        </w:rPr>
        <w:t xml:space="preserve">City Angels </w:t>
      </w:r>
      <w:r w:rsidR="002F04D3">
        <w:rPr>
          <w:color w:val="221F1F"/>
          <w:spacing w:val="-3"/>
        </w:rPr>
        <w:t xml:space="preserve">are both voluntary organisations and </w:t>
      </w:r>
      <w:r>
        <w:rPr>
          <w:color w:val="221F1F"/>
          <w:spacing w:val="-3"/>
        </w:rPr>
        <w:t xml:space="preserve">patrol the city centre </w:t>
      </w:r>
      <w:r w:rsidR="002F04D3">
        <w:rPr>
          <w:color w:val="221F1F"/>
          <w:spacing w:val="-3"/>
        </w:rPr>
        <w:t xml:space="preserve">on Friday or Saturday nights, </w:t>
      </w:r>
      <w:r w:rsidR="001368D3">
        <w:rPr>
          <w:color w:val="221F1F"/>
          <w:spacing w:val="-3"/>
        </w:rPr>
        <w:t>with</w:t>
      </w:r>
      <w:r>
        <w:rPr>
          <w:color w:val="221F1F"/>
          <w:spacing w:val="-3"/>
        </w:rPr>
        <w:t xml:space="preserve"> the City Angels also patrol</w:t>
      </w:r>
      <w:r w:rsidR="001368D3">
        <w:rPr>
          <w:color w:val="221F1F"/>
          <w:spacing w:val="-3"/>
        </w:rPr>
        <w:t>ling East Oxford</w:t>
      </w:r>
      <w:r>
        <w:rPr>
          <w:color w:val="221F1F"/>
          <w:spacing w:val="-3"/>
        </w:rPr>
        <w:t>.</w:t>
      </w:r>
    </w:p>
    <w:p w14:paraId="1C5877CC" w14:textId="52C1440F" w:rsidR="002472EE" w:rsidRDefault="001368D3" w:rsidP="009304B1">
      <w:pPr>
        <w:pStyle w:val="ColorfulList-Accent11"/>
        <w:numPr>
          <w:ilvl w:val="0"/>
          <w:numId w:val="9"/>
        </w:numPr>
        <w:rPr>
          <w:color w:val="221F1F"/>
          <w:spacing w:val="-3"/>
        </w:rPr>
      </w:pPr>
      <w:r>
        <w:rPr>
          <w:color w:val="221F1F"/>
          <w:spacing w:val="-3"/>
        </w:rPr>
        <w:t>The Safe Places network is a</w:t>
      </w:r>
      <w:r w:rsidR="00A517EE">
        <w:rPr>
          <w:color w:val="221F1F"/>
          <w:spacing w:val="-3"/>
        </w:rPr>
        <w:t xml:space="preserve">n important </w:t>
      </w:r>
      <w:r>
        <w:rPr>
          <w:color w:val="221F1F"/>
          <w:spacing w:val="-3"/>
        </w:rPr>
        <w:t>element</w:t>
      </w:r>
      <w:r w:rsidR="00A517EE">
        <w:rPr>
          <w:color w:val="221F1F"/>
          <w:spacing w:val="-3"/>
        </w:rPr>
        <w:t xml:space="preserve"> of the </w:t>
      </w:r>
      <w:proofErr w:type="spellStart"/>
      <w:r w:rsidR="00A517EE">
        <w:rPr>
          <w:color w:val="221F1F"/>
          <w:spacing w:val="-3"/>
        </w:rPr>
        <w:t>Nigh</w:t>
      </w:r>
      <w:r w:rsidR="009304B1">
        <w:rPr>
          <w:color w:val="221F1F"/>
          <w:spacing w:val="-3"/>
        </w:rPr>
        <w:t>t</w:t>
      </w:r>
      <w:r w:rsidR="00A517EE">
        <w:rPr>
          <w:color w:val="221F1F"/>
          <w:spacing w:val="-3"/>
        </w:rPr>
        <w:t>Safe</w:t>
      </w:r>
      <w:proofErr w:type="spellEnd"/>
      <w:r w:rsidR="00A517EE">
        <w:rPr>
          <w:color w:val="221F1F"/>
          <w:spacing w:val="-3"/>
        </w:rPr>
        <w:t xml:space="preserve"> Programme.  The</w:t>
      </w:r>
      <w:r w:rsidR="009304B1">
        <w:rPr>
          <w:color w:val="221F1F"/>
          <w:spacing w:val="-3"/>
        </w:rPr>
        <w:t>r</w:t>
      </w:r>
      <w:r w:rsidR="00A517EE">
        <w:rPr>
          <w:color w:val="221F1F"/>
          <w:spacing w:val="-3"/>
        </w:rPr>
        <w:t xml:space="preserve">e are </w:t>
      </w:r>
      <w:r w:rsidR="009304B1">
        <w:rPr>
          <w:color w:val="221F1F"/>
          <w:spacing w:val="-3"/>
        </w:rPr>
        <w:t>several</w:t>
      </w:r>
      <w:r w:rsidR="00A517EE">
        <w:rPr>
          <w:color w:val="221F1F"/>
          <w:spacing w:val="-3"/>
        </w:rPr>
        <w:t xml:space="preserve"> businesses within the city centre and Cowley Road that provide sanctuary for those people that feel vulnerable or unsafe.  </w:t>
      </w:r>
    </w:p>
    <w:p w14:paraId="08F89D96" w14:textId="3C94EC18" w:rsidR="004B5331" w:rsidRDefault="002472EE" w:rsidP="009304B1">
      <w:pPr>
        <w:pStyle w:val="ColorfulList-Accent11"/>
        <w:numPr>
          <w:ilvl w:val="0"/>
          <w:numId w:val="9"/>
        </w:numPr>
        <w:rPr>
          <w:color w:val="221F1F"/>
          <w:spacing w:val="-3"/>
        </w:rPr>
      </w:pPr>
      <w:r w:rsidRPr="004B5331">
        <w:rPr>
          <w:color w:val="221F1F"/>
          <w:spacing w:val="-3"/>
        </w:rPr>
        <w:t xml:space="preserve">Licensing Authorities alcohol and late-night entertainment policies ensure all premises implement safety approaches through their licensing conditions. </w:t>
      </w:r>
      <w:r w:rsidR="004B5331" w:rsidRPr="004B5331">
        <w:rPr>
          <w:color w:val="221F1F"/>
          <w:spacing w:val="-3"/>
        </w:rPr>
        <w:t>To support the Safe Places approach, some of the conditions for licensing include Ask Angel</w:t>
      </w:r>
      <w:r w:rsidRPr="004B5331">
        <w:rPr>
          <w:color w:val="221F1F"/>
          <w:spacing w:val="-3"/>
        </w:rPr>
        <w:t xml:space="preserve">a-style reporting processes, </w:t>
      </w:r>
      <w:proofErr w:type="gramStart"/>
      <w:r w:rsidRPr="004B5331">
        <w:rPr>
          <w:color w:val="221F1F"/>
          <w:spacing w:val="-3"/>
        </w:rPr>
        <w:t>CCTV</w:t>
      </w:r>
      <w:proofErr w:type="gramEnd"/>
      <w:r w:rsidR="004B5331" w:rsidRPr="004B5331">
        <w:rPr>
          <w:color w:val="221F1F"/>
          <w:spacing w:val="-3"/>
        </w:rPr>
        <w:t xml:space="preserve"> and</w:t>
      </w:r>
      <w:r w:rsidRPr="004B5331">
        <w:rPr>
          <w:color w:val="221F1F"/>
          <w:spacing w:val="-3"/>
        </w:rPr>
        <w:t xml:space="preserve"> door staff training</w:t>
      </w:r>
      <w:r w:rsidR="004B5331" w:rsidRPr="004B5331">
        <w:rPr>
          <w:color w:val="221F1F"/>
          <w:spacing w:val="-3"/>
        </w:rPr>
        <w:t xml:space="preserve">.  </w:t>
      </w:r>
    </w:p>
    <w:p w14:paraId="44C23A1D" w14:textId="77777777" w:rsidR="000568B3" w:rsidRPr="009304B1" w:rsidRDefault="004B5331" w:rsidP="009304B1">
      <w:pPr>
        <w:pStyle w:val="ColorfulList-Accent11"/>
        <w:numPr>
          <w:ilvl w:val="0"/>
          <w:numId w:val="0"/>
        </w:numPr>
        <w:rPr>
          <w:b/>
          <w:bCs/>
          <w:color w:val="221F1F"/>
          <w:spacing w:val="-3"/>
        </w:rPr>
      </w:pPr>
      <w:r w:rsidRPr="009304B1">
        <w:rPr>
          <w:b/>
          <w:bCs/>
          <w:color w:val="221F1F"/>
          <w:spacing w:val="-3"/>
        </w:rPr>
        <w:t>Tackling Serious Violence</w:t>
      </w:r>
      <w:r w:rsidR="000568B3" w:rsidRPr="009304B1">
        <w:rPr>
          <w:b/>
          <w:bCs/>
          <w:color w:val="221F1F"/>
          <w:spacing w:val="-3"/>
        </w:rPr>
        <w:t xml:space="preserve"> </w:t>
      </w:r>
    </w:p>
    <w:p w14:paraId="6A3C5455" w14:textId="77777777" w:rsidR="000568B3" w:rsidRDefault="000568B3" w:rsidP="009304B1">
      <w:pPr>
        <w:pStyle w:val="ColorfulList-Accent11"/>
        <w:numPr>
          <w:ilvl w:val="0"/>
          <w:numId w:val="9"/>
        </w:numPr>
        <w:rPr>
          <w:color w:val="221F1F"/>
          <w:spacing w:val="-3"/>
        </w:rPr>
      </w:pPr>
      <w:r w:rsidRPr="000568B3">
        <w:rPr>
          <w:color w:val="221F1F"/>
          <w:spacing w:val="-3"/>
        </w:rPr>
        <w:t xml:space="preserve">Following on from a serious violent incident and increases in anti-social behaviour in an Oxford neighbourhood, an OSCP multi-agency project was set-up in collaboration with the local community.  </w:t>
      </w:r>
    </w:p>
    <w:p w14:paraId="68C2EB51" w14:textId="1B96E2D7" w:rsidR="00524648" w:rsidRPr="001368D3" w:rsidRDefault="00524648" w:rsidP="00A61BB8">
      <w:pPr>
        <w:pStyle w:val="ColorfulList-Accent11"/>
        <w:numPr>
          <w:ilvl w:val="0"/>
          <w:numId w:val="9"/>
        </w:numPr>
        <w:rPr>
          <w:color w:val="221F1F"/>
          <w:spacing w:val="-3"/>
        </w:rPr>
      </w:pPr>
      <w:r w:rsidRPr="001368D3">
        <w:rPr>
          <w:color w:val="221F1F"/>
          <w:spacing w:val="-3"/>
        </w:rPr>
        <w:t xml:space="preserve">The Project Team used a Prepare, Prevent, Protect, </w:t>
      </w:r>
      <w:proofErr w:type="gramStart"/>
      <w:r w:rsidRPr="001368D3">
        <w:rPr>
          <w:color w:val="221F1F"/>
          <w:spacing w:val="-3"/>
        </w:rPr>
        <w:t>Pursue</w:t>
      </w:r>
      <w:proofErr w:type="gramEnd"/>
      <w:r w:rsidRPr="001368D3">
        <w:rPr>
          <w:color w:val="221F1F"/>
          <w:spacing w:val="-3"/>
        </w:rPr>
        <w:t xml:space="preserve"> framework approach to coordinate its multi-agency response, with each section having immediate and legacy activities in order to sustain interventions.  Each </w:t>
      </w:r>
      <w:r w:rsidR="001368D3">
        <w:rPr>
          <w:color w:val="221F1F"/>
          <w:spacing w:val="-3"/>
        </w:rPr>
        <w:t>element</w:t>
      </w:r>
      <w:r w:rsidRPr="001368D3">
        <w:rPr>
          <w:color w:val="221F1F"/>
          <w:spacing w:val="-3"/>
        </w:rPr>
        <w:t xml:space="preserve"> had a lead officer with the Pursue </w:t>
      </w:r>
      <w:r w:rsidR="001368D3">
        <w:rPr>
          <w:color w:val="221F1F"/>
          <w:spacing w:val="-3"/>
        </w:rPr>
        <w:t>strand</w:t>
      </w:r>
      <w:r w:rsidRPr="001368D3">
        <w:rPr>
          <w:color w:val="221F1F"/>
          <w:spacing w:val="-3"/>
        </w:rPr>
        <w:t xml:space="preserve"> led by a police officer.</w:t>
      </w:r>
    </w:p>
    <w:p w14:paraId="277C2D01" w14:textId="693A7ACF" w:rsidR="000568B3" w:rsidRPr="000568B3" w:rsidRDefault="00524648" w:rsidP="00524648">
      <w:pPr>
        <w:pStyle w:val="ColorfulList-Accent11"/>
        <w:numPr>
          <w:ilvl w:val="0"/>
          <w:numId w:val="9"/>
        </w:numPr>
        <w:rPr>
          <w:color w:val="221F1F"/>
          <w:spacing w:val="-3"/>
        </w:rPr>
      </w:pPr>
      <w:r>
        <w:rPr>
          <w:color w:val="221F1F"/>
          <w:spacing w:val="-3"/>
        </w:rPr>
        <w:t xml:space="preserve">The Prepare </w:t>
      </w:r>
      <w:r w:rsidR="001368D3">
        <w:rPr>
          <w:color w:val="221F1F"/>
          <w:spacing w:val="-3"/>
        </w:rPr>
        <w:t>strand</w:t>
      </w:r>
      <w:r>
        <w:rPr>
          <w:color w:val="221F1F"/>
          <w:spacing w:val="-3"/>
        </w:rPr>
        <w:t xml:space="preserve"> was led by the Council’s Community Safety Problem Solving Officer, who gathered community views by using a web-based consultation portal.  There were </w:t>
      </w:r>
      <w:r w:rsidR="000568B3" w:rsidRPr="000568B3">
        <w:rPr>
          <w:color w:val="221F1F"/>
          <w:spacing w:val="-3"/>
        </w:rPr>
        <w:t xml:space="preserve">436 visitors to the site and 65 people completing the survey. A map of the area allowed residents to pinpoint where they felt safe or unsafe, and why. This information was added to the local crime trend analysis in order to identify areas suitable for crime prevention that included CCTV, improved lighting and </w:t>
      </w:r>
      <w:proofErr w:type="gramStart"/>
      <w:r w:rsidR="000568B3" w:rsidRPr="000568B3">
        <w:rPr>
          <w:color w:val="221F1F"/>
          <w:spacing w:val="-3"/>
        </w:rPr>
        <w:t>longer term</w:t>
      </w:r>
      <w:proofErr w:type="gramEnd"/>
      <w:r w:rsidR="000568B3" w:rsidRPr="000568B3">
        <w:rPr>
          <w:color w:val="221F1F"/>
          <w:spacing w:val="-3"/>
        </w:rPr>
        <w:t xml:space="preserve"> redesigns.</w:t>
      </w:r>
    </w:p>
    <w:p w14:paraId="61D736F5" w14:textId="77777777" w:rsidR="000568B3" w:rsidRDefault="000568B3" w:rsidP="009304B1">
      <w:pPr>
        <w:pStyle w:val="ColorfulList-Accent11"/>
        <w:numPr>
          <w:ilvl w:val="0"/>
          <w:numId w:val="9"/>
        </w:numPr>
        <w:rPr>
          <w:color w:val="221F1F"/>
          <w:spacing w:val="-3"/>
        </w:rPr>
      </w:pPr>
      <w:r w:rsidRPr="000568B3">
        <w:rPr>
          <w:color w:val="221F1F"/>
          <w:spacing w:val="-3"/>
        </w:rPr>
        <w:lastRenderedPageBreak/>
        <w:t xml:space="preserve">Those suspected of being involved in the violence and exploitation of vulnerable people were identified and their behaviour dealt with. Young people were engaged </w:t>
      </w:r>
      <w:proofErr w:type="gramStart"/>
      <w:r w:rsidRPr="000568B3">
        <w:rPr>
          <w:color w:val="221F1F"/>
          <w:spacing w:val="-3"/>
        </w:rPr>
        <w:t>with</w:t>
      </w:r>
      <w:proofErr w:type="gramEnd"/>
      <w:r w:rsidRPr="000568B3">
        <w:rPr>
          <w:color w:val="221F1F"/>
          <w:spacing w:val="-3"/>
        </w:rPr>
        <w:t xml:space="preserve"> and a series of youth activities developed for the area.</w:t>
      </w:r>
    </w:p>
    <w:p w14:paraId="2776289B" w14:textId="2FC0E385" w:rsidR="00524648" w:rsidRPr="00530F2D" w:rsidRDefault="00524648" w:rsidP="00B51C62">
      <w:pPr>
        <w:pStyle w:val="ColorfulList-Accent11"/>
        <w:numPr>
          <w:ilvl w:val="0"/>
          <w:numId w:val="9"/>
        </w:numPr>
        <w:rPr>
          <w:color w:val="221F1F"/>
          <w:spacing w:val="-3"/>
        </w:rPr>
      </w:pPr>
      <w:r w:rsidRPr="00530F2D">
        <w:rPr>
          <w:color w:val="221F1F"/>
          <w:spacing w:val="-3"/>
        </w:rPr>
        <w:t xml:space="preserve">The legacy activities included </w:t>
      </w:r>
      <w:r w:rsidR="00530F2D" w:rsidRPr="00530F2D">
        <w:rPr>
          <w:color w:val="221F1F"/>
          <w:spacing w:val="-3"/>
        </w:rPr>
        <w:t>o</w:t>
      </w:r>
      <w:r w:rsidRPr="00530F2D">
        <w:rPr>
          <w:color w:val="221F1F"/>
          <w:spacing w:val="-3"/>
        </w:rPr>
        <w:t>n-going partnership assessment o</w:t>
      </w:r>
      <w:r w:rsidR="00530F2D" w:rsidRPr="00530F2D">
        <w:rPr>
          <w:color w:val="221F1F"/>
          <w:spacing w:val="-3"/>
        </w:rPr>
        <w:t xml:space="preserve">f risk and harm in the locality, and </w:t>
      </w:r>
      <w:r w:rsidR="00530F2D">
        <w:rPr>
          <w:color w:val="221F1F"/>
          <w:spacing w:val="-3"/>
        </w:rPr>
        <w:t>p</w:t>
      </w:r>
      <w:r w:rsidRPr="00530F2D">
        <w:rPr>
          <w:color w:val="221F1F"/>
          <w:spacing w:val="-3"/>
        </w:rPr>
        <w:t>artnership structures developed to support disruption activities when needed.</w:t>
      </w:r>
    </w:p>
    <w:p w14:paraId="18644CAB" w14:textId="77777777" w:rsidR="004B5331" w:rsidRDefault="000568B3" w:rsidP="009304B1">
      <w:pPr>
        <w:pStyle w:val="ColorfulList-Accent11"/>
        <w:numPr>
          <w:ilvl w:val="0"/>
          <w:numId w:val="9"/>
        </w:numPr>
        <w:rPr>
          <w:color w:val="221F1F"/>
          <w:spacing w:val="-3"/>
        </w:rPr>
      </w:pPr>
      <w:r w:rsidRPr="000568B3">
        <w:rPr>
          <w:color w:val="221F1F"/>
          <w:spacing w:val="-3"/>
        </w:rPr>
        <w:t>In early 2023 the project won Thames Valley Police’s Laycock</w:t>
      </w:r>
      <w:r>
        <w:rPr>
          <w:color w:val="221F1F"/>
          <w:spacing w:val="-3"/>
        </w:rPr>
        <w:t xml:space="preserve"> Award.</w:t>
      </w:r>
    </w:p>
    <w:p w14:paraId="2E0649E7" w14:textId="01343ECD" w:rsidR="00B54CFF" w:rsidRPr="00530F2D" w:rsidRDefault="00530F2D" w:rsidP="00530F2D">
      <w:pPr>
        <w:pStyle w:val="ColorfulList-Accent11"/>
        <w:numPr>
          <w:ilvl w:val="0"/>
          <w:numId w:val="9"/>
        </w:numPr>
        <w:rPr>
          <w:color w:val="221F1F"/>
          <w:spacing w:val="-3"/>
        </w:rPr>
      </w:pPr>
      <w:r w:rsidRPr="00530F2D">
        <w:rPr>
          <w:color w:val="221F1F"/>
          <w:spacing w:val="-3"/>
        </w:rPr>
        <w:t xml:space="preserve">This approach </w:t>
      </w:r>
      <w:r>
        <w:rPr>
          <w:color w:val="221F1F"/>
          <w:spacing w:val="-3"/>
        </w:rPr>
        <w:t xml:space="preserve">will be </w:t>
      </w:r>
      <w:r w:rsidRPr="00530F2D">
        <w:rPr>
          <w:color w:val="221F1F"/>
          <w:spacing w:val="-3"/>
        </w:rPr>
        <w:t>rolled out to other part</w:t>
      </w:r>
      <w:r>
        <w:rPr>
          <w:color w:val="221F1F"/>
          <w:spacing w:val="-3"/>
        </w:rPr>
        <w:t>s</w:t>
      </w:r>
      <w:r w:rsidRPr="00530F2D">
        <w:rPr>
          <w:color w:val="221F1F"/>
          <w:spacing w:val="-3"/>
        </w:rPr>
        <w:t xml:space="preserve"> of the city and has been developed into a proposal for a county-wide place-based response to serious violence, exploitation and ASB.</w:t>
      </w:r>
      <w:r w:rsidR="00B54CFF" w:rsidRPr="00530F2D">
        <w:rPr>
          <w:color w:val="221F1F"/>
          <w:spacing w:val="-3"/>
        </w:rPr>
        <w:t xml:space="preserve"> </w:t>
      </w:r>
    </w:p>
    <w:p w14:paraId="424DF7D0" w14:textId="77777777" w:rsidR="00B54CFF" w:rsidRPr="009304B1" w:rsidRDefault="00B54CFF" w:rsidP="009304B1">
      <w:pPr>
        <w:pStyle w:val="ColorfulList-Accent11"/>
        <w:numPr>
          <w:ilvl w:val="0"/>
          <w:numId w:val="0"/>
        </w:numPr>
        <w:rPr>
          <w:b/>
          <w:bCs/>
          <w:color w:val="221F1F"/>
          <w:spacing w:val="-3"/>
        </w:rPr>
      </w:pPr>
      <w:r w:rsidRPr="009304B1">
        <w:rPr>
          <w:b/>
          <w:bCs/>
          <w:color w:val="221F1F"/>
          <w:spacing w:val="-3"/>
        </w:rPr>
        <w:t>Human Trafficking and Exploitation</w:t>
      </w:r>
    </w:p>
    <w:p w14:paraId="6941EE68" w14:textId="11B3C978" w:rsidR="008B0A0B" w:rsidRPr="001368D3" w:rsidRDefault="00B54CFF" w:rsidP="001368D3">
      <w:pPr>
        <w:pStyle w:val="ColorfulList-Accent11"/>
        <w:numPr>
          <w:ilvl w:val="0"/>
          <w:numId w:val="9"/>
        </w:numPr>
        <w:rPr>
          <w:color w:val="221F1F"/>
          <w:spacing w:val="-3"/>
        </w:rPr>
      </w:pPr>
      <w:r w:rsidRPr="008B0A0B">
        <w:rPr>
          <w:color w:val="221F1F"/>
          <w:spacing w:val="-3"/>
        </w:rPr>
        <w:t xml:space="preserve">Oxfordshire’s Anti-Slavery Coordinator has continued </w:t>
      </w:r>
      <w:r w:rsidR="001368D3">
        <w:rPr>
          <w:color w:val="221F1F"/>
          <w:spacing w:val="-3"/>
        </w:rPr>
        <w:t>to</w:t>
      </w:r>
      <w:r w:rsidRPr="008B0A0B">
        <w:rPr>
          <w:color w:val="221F1F"/>
          <w:spacing w:val="-3"/>
        </w:rPr>
        <w:t xml:space="preserve"> develop the multi-agency Guidance and Pathways document for those agencies that work in this sector.</w:t>
      </w:r>
      <w:r w:rsidR="001368D3">
        <w:rPr>
          <w:color w:val="221F1F"/>
          <w:spacing w:val="-3"/>
        </w:rPr>
        <w:t xml:space="preserve">  </w:t>
      </w:r>
      <w:r w:rsidRPr="001368D3">
        <w:rPr>
          <w:color w:val="221F1F"/>
          <w:spacing w:val="-3"/>
        </w:rPr>
        <w:t>Involving over 40 agencies, these new processes have resulted in more than 50 Anti-Slavery Multi-Agency Risk Assessment Conferences (ASMARAC) and 17 Anti-Slavery</w:t>
      </w:r>
      <w:r w:rsidR="008B0A0B" w:rsidRPr="001368D3">
        <w:rPr>
          <w:color w:val="221F1F"/>
          <w:spacing w:val="-3"/>
        </w:rPr>
        <w:t xml:space="preserve"> Multi-Agency Response Team meetings to disrupted those involved in modern slavery and exploitation. 26 multi-agency disruption plans were implemented involving 17 partner agencies.</w:t>
      </w:r>
    </w:p>
    <w:p w14:paraId="21640E02" w14:textId="1B60EC5A" w:rsidR="008B0A0B" w:rsidRPr="008B0A0B" w:rsidRDefault="008B0A0B" w:rsidP="009304B1">
      <w:pPr>
        <w:pStyle w:val="ColorfulList-Accent11"/>
        <w:numPr>
          <w:ilvl w:val="0"/>
          <w:numId w:val="9"/>
        </w:numPr>
        <w:rPr>
          <w:color w:val="221F1F"/>
          <w:spacing w:val="-3"/>
        </w:rPr>
      </w:pPr>
      <w:r w:rsidRPr="008B0A0B">
        <w:rPr>
          <w:color w:val="221F1F"/>
          <w:spacing w:val="-3"/>
        </w:rPr>
        <w:t xml:space="preserve">Reports of exploitation </w:t>
      </w:r>
      <w:r w:rsidR="001368D3" w:rsidRPr="008B0A0B">
        <w:rPr>
          <w:color w:val="221F1F"/>
          <w:spacing w:val="-3"/>
        </w:rPr>
        <w:t>most concerned</w:t>
      </w:r>
      <w:r w:rsidRPr="008B0A0B">
        <w:rPr>
          <w:color w:val="221F1F"/>
          <w:spacing w:val="-3"/>
        </w:rPr>
        <w:t xml:space="preserve"> brothels and sex working, taking over a vulnerable person’s residence and cannabis cultivation. There are slightly more male victims than females, with most victims in the 25-34 age group, closely by those aged 18-24 and 35-44.</w:t>
      </w:r>
    </w:p>
    <w:p w14:paraId="167A30BB" w14:textId="0E42166A" w:rsidR="00B54CFF" w:rsidRDefault="00924676" w:rsidP="009304B1">
      <w:pPr>
        <w:pStyle w:val="ColorfulList-Accent11"/>
        <w:numPr>
          <w:ilvl w:val="0"/>
          <w:numId w:val="9"/>
        </w:numPr>
        <w:rPr>
          <w:color w:val="221F1F"/>
          <w:spacing w:val="-3"/>
        </w:rPr>
      </w:pPr>
      <w:r>
        <w:rPr>
          <w:color w:val="221F1F"/>
          <w:spacing w:val="-3"/>
        </w:rPr>
        <w:t>Thirty</w:t>
      </w:r>
      <w:r w:rsidR="008B0A0B" w:rsidRPr="008B0A0B">
        <w:rPr>
          <w:color w:val="221F1F"/>
          <w:spacing w:val="-3"/>
        </w:rPr>
        <w:t xml:space="preserve"> people in Oxford City have been supported through a multi-agency approach to free them from their exploiters. Three were supported to secure housing in other areas for their safety and one obtained safe accommodation through the National Referral Mechanism (NRM).</w:t>
      </w:r>
    </w:p>
    <w:p w14:paraId="68AC2CC7" w14:textId="77777777" w:rsidR="008B0A0B" w:rsidRPr="009304B1" w:rsidRDefault="008B0A0B" w:rsidP="009304B1">
      <w:pPr>
        <w:pStyle w:val="ColorfulList-Accent11"/>
        <w:numPr>
          <w:ilvl w:val="0"/>
          <w:numId w:val="0"/>
        </w:numPr>
        <w:rPr>
          <w:b/>
          <w:bCs/>
          <w:color w:val="221F1F"/>
          <w:spacing w:val="-3"/>
        </w:rPr>
      </w:pPr>
      <w:r w:rsidRPr="009304B1">
        <w:rPr>
          <w:b/>
          <w:bCs/>
          <w:color w:val="221F1F"/>
          <w:spacing w:val="-3"/>
        </w:rPr>
        <w:t>Domestic Abuse</w:t>
      </w:r>
    </w:p>
    <w:p w14:paraId="303ECCFF" w14:textId="77777777" w:rsidR="008B0A0B" w:rsidRPr="008B0A0B" w:rsidRDefault="008B0A0B" w:rsidP="009304B1">
      <w:pPr>
        <w:pStyle w:val="ColorfulList-Accent11"/>
        <w:numPr>
          <w:ilvl w:val="0"/>
          <w:numId w:val="9"/>
        </w:numPr>
        <w:rPr>
          <w:color w:val="221F1F"/>
          <w:spacing w:val="-3"/>
        </w:rPr>
      </w:pPr>
      <w:r w:rsidRPr="008B0A0B">
        <w:rPr>
          <w:color w:val="221F1F"/>
          <w:spacing w:val="-3"/>
        </w:rPr>
        <w:t>Oxford City Council’s Domestic Abuse lead officer worked with colleagues across Oxfordshire to implement the Oxfordshire Domestic Abuse Strategy and the Oxfordshire Safe Accommodation Strategy action plans. This resulted in the procurement of a new Oxfordshire Domestic Abuse Service and the Independent Domestic Violence Advisory (IDVA) Service, the main providers of services for domestic abuse survivors in Oxfordshire.</w:t>
      </w:r>
    </w:p>
    <w:p w14:paraId="744B3264" w14:textId="2ED935BC" w:rsidR="008B0A0B" w:rsidRPr="008B0A0B" w:rsidRDefault="008B0A0B" w:rsidP="009304B1">
      <w:pPr>
        <w:pStyle w:val="ColorfulList-Accent11"/>
        <w:numPr>
          <w:ilvl w:val="0"/>
          <w:numId w:val="9"/>
        </w:numPr>
        <w:rPr>
          <w:color w:val="221F1F"/>
          <w:spacing w:val="-3"/>
        </w:rPr>
      </w:pPr>
      <w:r w:rsidRPr="008B0A0B">
        <w:rPr>
          <w:color w:val="221F1F"/>
          <w:spacing w:val="-3"/>
        </w:rPr>
        <w:t xml:space="preserve">Oxford City Council provides a Sanctuary Scheme for survivors of domestic abuse who wish to stay in their properties in Oxford. </w:t>
      </w:r>
      <w:r w:rsidR="00530F2D">
        <w:rPr>
          <w:color w:val="221F1F"/>
          <w:spacing w:val="-3"/>
        </w:rPr>
        <w:t xml:space="preserve"> This scheme included p</w:t>
      </w:r>
      <w:r w:rsidRPr="008B0A0B">
        <w:rPr>
          <w:color w:val="221F1F"/>
          <w:spacing w:val="-3"/>
        </w:rPr>
        <w:t>roviding support and enhanced security measures</w:t>
      </w:r>
      <w:r w:rsidR="00530F2D">
        <w:rPr>
          <w:color w:val="221F1F"/>
          <w:spacing w:val="-3"/>
        </w:rPr>
        <w:t xml:space="preserve">.  In 2022-23, </w:t>
      </w:r>
      <w:r w:rsidRPr="008B0A0B">
        <w:rPr>
          <w:color w:val="221F1F"/>
          <w:spacing w:val="-3"/>
        </w:rPr>
        <w:t>76 survivors and their families were kept safe in their home.</w:t>
      </w:r>
    </w:p>
    <w:p w14:paraId="03D92BC8" w14:textId="77777777" w:rsidR="008B0A0B" w:rsidRPr="008B0A0B" w:rsidRDefault="008B0A0B" w:rsidP="009304B1">
      <w:pPr>
        <w:pStyle w:val="ColorfulList-Accent11"/>
        <w:numPr>
          <w:ilvl w:val="0"/>
          <w:numId w:val="9"/>
        </w:numPr>
        <w:rPr>
          <w:color w:val="221F1F"/>
          <w:spacing w:val="-3"/>
        </w:rPr>
      </w:pPr>
      <w:r w:rsidRPr="008B0A0B">
        <w:rPr>
          <w:color w:val="221F1F"/>
          <w:spacing w:val="-3"/>
        </w:rPr>
        <w:t>Oxford City Council employed two Domestic Abuse Housing Link (DAHLs) Workers to support clients with additional needs and complex housing issues where domestic abuse is a factor. The DAHLs also support staff to improve their response to survivors of domestic abuse, identifying gaps in provision and learning to improve processes and outcomes.</w:t>
      </w:r>
    </w:p>
    <w:p w14:paraId="3D71381A" w14:textId="77777777" w:rsidR="008B0A0B" w:rsidRPr="008B0A0B" w:rsidRDefault="008B0A0B" w:rsidP="009304B1">
      <w:pPr>
        <w:pStyle w:val="ColorfulList-Accent11"/>
        <w:numPr>
          <w:ilvl w:val="0"/>
          <w:numId w:val="9"/>
        </w:numPr>
        <w:rPr>
          <w:color w:val="221F1F"/>
          <w:spacing w:val="-3"/>
        </w:rPr>
      </w:pPr>
      <w:r w:rsidRPr="008B0A0B">
        <w:rPr>
          <w:color w:val="221F1F"/>
          <w:spacing w:val="-3"/>
        </w:rPr>
        <w:t>The Council is also working towards the Domestic Abuse Housing Alliance (DAHA) accreditation. The accreditation embeds domestic abuse responses across the whole Council to improve outcomes for survivors.</w:t>
      </w:r>
    </w:p>
    <w:p w14:paraId="3B8209DF" w14:textId="6990AE39" w:rsidR="008B0A0B" w:rsidRPr="008B0A0B" w:rsidRDefault="008B0A0B" w:rsidP="009304B1">
      <w:pPr>
        <w:pStyle w:val="ColorfulList-Accent11"/>
        <w:numPr>
          <w:ilvl w:val="0"/>
          <w:numId w:val="9"/>
        </w:numPr>
        <w:rPr>
          <w:color w:val="221F1F"/>
          <w:spacing w:val="-3"/>
        </w:rPr>
      </w:pPr>
      <w:r w:rsidRPr="008B0A0B">
        <w:rPr>
          <w:color w:val="221F1F"/>
          <w:spacing w:val="-3"/>
        </w:rPr>
        <w:lastRenderedPageBreak/>
        <w:t>OSCP has the responsibility to commission Domestic Homicide Reviews (DHR). In 2022, a DHR was signed off by the Home Office and the action plan has been completed.</w:t>
      </w:r>
    </w:p>
    <w:p w14:paraId="06C19458" w14:textId="0BE84E2C" w:rsidR="008B0A0B" w:rsidRPr="009304B1" w:rsidRDefault="008B0A0B" w:rsidP="009304B1">
      <w:pPr>
        <w:pStyle w:val="ColorfulList-Accent11"/>
        <w:numPr>
          <w:ilvl w:val="0"/>
          <w:numId w:val="0"/>
        </w:numPr>
        <w:rPr>
          <w:b/>
          <w:bCs/>
          <w:color w:val="221F1F"/>
          <w:spacing w:val="-3"/>
        </w:rPr>
      </w:pPr>
      <w:r w:rsidRPr="009304B1">
        <w:rPr>
          <w:b/>
          <w:bCs/>
          <w:color w:val="221F1F"/>
          <w:spacing w:val="-3"/>
        </w:rPr>
        <w:t>Anti-social Behaviour (ASB)</w:t>
      </w:r>
    </w:p>
    <w:p w14:paraId="4B64AFC3" w14:textId="17740EE1" w:rsidR="008B0A0B" w:rsidRDefault="001368D3" w:rsidP="009304B1">
      <w:pPr>
        <w:pStyle w:val="ColorfulList-Accent11"/>
        <w:numPr>
          <w:ilvl w:val="0"/>
          <w:numId w:val="9"/>
        </w:numPr>
        <w:rPr>
          <w:color w:val="221F1F"/>
          <w:spacing w:val="-3"/>
        </w:rPr>
      </w:pPr>
      <w:r w:rsidRPr="00CD7656">
        <w:rPr>
          <w:noProof/>
          <w:color w:val="221F1F"/>
          <w:spacing w:val="-3"/>
        </w:rPr>
        <mc:AlternateContent>
          <mc:Choice Requires="wps">
            <w:drawing>
              <wp:anchor distT="45720" distB="45720" distL="114300" distR="114300" simplePos="0" relativeHeight="251661312" behindDoc="0" locked="0" layoutInCell="1" allowOverlap="1" wp14:anchorId="635AEA6A" wp14:editId="6AA5FE9E">
                <wp:simplePos x="0" y="0"/>
                <wp:positionH relativeFrom="column">
                  <wp:posOffset>3078480</wp:posOffset>
                </wp:positionH>
                <wp:positionV relativeFrom="paragraph">
                  <wp:posOffset>7620</wp:posOffset>
                </wp:positionV>
                <wp:extent cx="3048000" cy="2202180"/>
                <wp:effectExtent l="0" t="0" r="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02180"/>
                        </a:xfrm>
                        <a:prstGeom prst="rect">
                          <a:avLst/>
                        </a:prstGeom>
                        <a:solidFill>
                          <a:srgbClr val="FFFFFF"/>
                        </a:solidFill>
                        <a:ln w="9525">
                          <a:noFill/>
                          <a:miter lim="800000"/>
                          <a:headEnd/>
                          <a:tailEnd/>
                        </a:ln>
                      </wps:spPr>
                      <wps:txbx>
                        <w:txbxContent>
                          <w:p w14:paraId="62A61E0F" w14:textId="5A059C5A" w:rsidR="00CD7656" w:rsidRDefault="00CD7656">
                            <w:r>
                              <w:rPr>
                                <w:noProof/>
                              </w:rPr>
                              <w:drawing>
                                <wp:inline distT="0" distB="0" distL="0" distR="0" wp14:anchorId="244BFF8A" wp14:editId="062AEAEE">
                                  <wp:extent cx="2908300" cy="1847850"/>
                                  <wp:effectExtent l="0" t="0" r="63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AEA6A" id="_x0000_t202" coordsize="21600,21600" o:spt="202" path="m,l,21600r21600,l21600,xe">
                <v:stroke joinstyle="miter"/>
                <v:path gradientshapeok="t" o:connecttype="rect"/>
              </v:shapetype>
              <v:shape id="Text Box 2" o:spid="_x0000_s1026" type="#_x0000_t202" style="position:absolute;left:0;text-align:left;margin-left:242.4pt;margin-top:.6pt;width:240pt;height:17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" stroked="f">
                <v:textbox>
                  <w:txbxContent>
                    <w:p w14:paraId="62A61E0F" w14:textId="5A059C5A" w:rsidR="00CD7656" w:rsidRDefault="00CD7656">
                      <w:r>
                        <w:rPr>
                          <w:noProof/>
                        </w:rPr>
                        <w:drawing>
                          <wp:inline distT="0" distB="0" distL="0" distR="0" wp14:anchorId="244BFF8A" wp14:editId="062AEAEE">
                            <wp:extent cx="2908300" cy="1847850"/>
                            <wp:effectExtent l="0" t="0" r="63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type="square"/>
              </v:shape>
            </w:pict>
          </mc:Fallback>
        </mc:AlternateContent>
      </w:r>
      <w:r w:rsidR="008B0A0B" w:rsidRPr="008B0A0B">
        <w:rPr>
          <w:color w:val="221F1F"/>
          <w:spacing w:val="-3"/>
        </w:rPr>
        <w:t xml:space="preserve">Oxford City Council has two teams that tackle the various forms of anti-social behaviour </w:t>
      </w:r>
      <w:r w:rsidR="007B386E">
        <w:rPr>
          <w:color w:val="221F1F"/>
          <w:spacing w:val="-3"/>
        </w:rPr>
        <w:t>with</w:t>
      </w:r>
      <w:r w:rsidR="008B0A0B" w:rsidRPr="008B0A0B">
        <w:rPr>
          <w:color w:val="221F1F"/>
          <w:spacing w:val="-3"/>
        </w:rPr>
        <w:t xml:space="preserve">in the city. </w:t>
      </w:r>
      <w:r w:rsidR="007B386E">
        <w:rPr>
          <w:color w:val="221F1F"/>
          <w:spacing w:val="-3"/>
        </w:rPr>
        <w:t xml:space="preserve">For </w:t>
      </w:r>
      <w:r w:rsidR="00213C7D">
        <w:rPr>
          <w:color w:val="221F1F"/>
          <w:spacing w:val="-3"/>
        </w:rPr>
        <w:t>the year 2022</w:t>
      </w:r>
      <w:r w:rsidR="007B386E">
        <w:rPr>
          <w:color w:val="221F1F"/>
          <w:spacing w:val="-3"/>
        </w:rPr>
        <w:t xml:space="preserve"> </w:t>
      </w:r>
      <w:r>
        <w:rPr>
          <w:color w:val="221F1F"/>
          <w:spacing w:val="-3"/>
        </w:rPr>
        <w:t>there were 2,616 cases l</w:t>
      </w:r>
      <w:r w:rsidR="008B0A0B">
        <w:rPr>
          <w:color w:val="221F1F"/>
          <w:spacing w:val="-3"/>
        </w:rPr>
        <w:t>ogged</w:t>
      </w:r>
      <w:r>
        <w:rPr>
          <w:color w:val="221F1F"/>
          <w:spacing w:val="-3"/>
        </w:rPr>
        <w:t>.</w:t>
      </w:r>
    </w:p>
    <w:p w14:paraId="63DD42BA" w14:textId="3903EC03" w:rsidR="008B0A0B" w:rsidRDefault="001368D3" w:rsidP="00CD7656">
      <w:pPr>
        <w:pStyle w:val="ColorfulList-Accent11"/>
        <w:numPr>
          <w:ilvl w:val="0"/>
          <w:numId w:val="9"/>
        </w:numPr>
        <w:rPr>
          <w:color w:val="221F1F"/>
          <w:spacing w:val="-3"/>
        </w:rPr>
      </w:pPr>
      <w:r>
        <w:rPr>
          <w:noProof/>
        </w:rPr>
        <w:drawing>
          <wp:anchor distT="0" distB="0" distL="114300" distR="114300" simplePos="0" relativeHeight="251662336" behindDoc="0" locked="0" layoutInCell="1" allowOverlap="1" wp14:anchorId="409032FA" wp14:editId="0CDCB30E">
            <wp:simplePos x="0" y="0"/>
            <wp:positionH relativeFrom="margin">
              <wp:align>right</wp:align>
            </wp:positionH>
            <wp:positionV relativeFrom="paragraph">
              <wp:posOffset>1318260</wp:posOffset>
            </wp:positionV>
            <wp:extent cx="5494020" cy="2865120"/>
            <wp:effectExtent l="0" t="0" r="11430" b="1143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D7656">
        <w:rPr>
          <w:color w:val="221F1F"/>
          <w:spacing w:val="-3"/>
        </w:rPr>
        <w:t>In 2022, th</w:t>
      </w:r>
      <w:r w:rsidR="008B0A0B" w:rsidRPr="008B0A0B">
        <w:rPr>
          <w:color w:val="221F1F"/>
          <w:spacing w:val="-3"/>
        </w:rPr>
        <w:t xml:space="preserve">e Community Response Team </w:t>
      </w:r>
      <w:r w:rsidR="008B0A0B">
        <w:rPr>
          <w:color w:val="221F1F"/>
          <w:spacing w:val="-3"/>
        </w:rPr>
        <w:t xml:space="preserve">dealt with 2,236 cases.  </w:t>
      </w:r>
      <w:r w:rsidR="00CD7656">
        <w:rPr>
          <w:color w:val="221F1F"/>
          <w:spacing w:val="-3"/>
        </w:rPr>
        <w:t xml:space="preserve">The following charts provide a breakdown of case type.  </w:t>
      </w:r>
      <w:proofErr w:type="gramStart"/>
      <w:r w:rsidR="00CD7656">
        <w:rPr>
          <w:color w:val="221F1F"/>
          <w:spacing w:val="-3"/>
        </w:rPr>
        <w:t>The majority of</w:t>
      </w:r>
      <w:proofErr w:type="gramEnd"/>
      <w:r w:rsidR="00CD7656">
        <w:rPr>
          <w:color w:val="221F1F"/>
          <w:spacing w:val="-3"/>
        </w:rPr>
        <w:t xml:space="preserve"> cases related domestic or commercial noise.  </w:t>
      </w:r>
      <w:r w:rsidR="001C3984">
        <w:rPr>
          <w:color w:val="221F1F"/>
          <w:spacing w:val="-3"/>
        </w:rPr>
        <w:t>Drill down those case types highlights parties and people noise as being the main complaint.</w:t>
      </w:r>
    </w:p>
    <w:p w14:paraId="7D6E38C4" w14:textId="0BC5A97E" w:rsidR="001C3984" w:rsidRDefault="001C3984" w:rsidP="001C3984">
      <w:pPr>
        <w:pStyle w:val="ColorfulList-Accent11"/>
        <w:numPr>
          <w:ilvl w:val="0"/>
          <w:numId w:val="0"/>
        </w:numPr>
        <w:rPr>
          <w:color w:val="221F1F"/>
          <w:spacing w:val="-3"/>
        </w:rPr>
      </w:pPr>
    </w:p>
    <w:p w14:paraId="127CCFF6" w14:textId="77777777" w:rsidR="00287679" w:rsidRDefault="008B0A0B" w:rsidP="00287679">
      <w:pPr>
        <w:pStyle w:val="ColorfulList-Accent11"/>
        <w:numPr>
          <w:ilvl w:val="0"/>
          <w:numId w:val="9"/>
        </w:numPr>
        <w:rPr>
          <w:color w:val="221F1F"/>
          <w:spacing w:val="-3"/>
        </w:rPr>
      </w:pPr>
      <w:r w:rsidRPr="00287679">
        <w:rPr>
          <w:color w:val="221F1F"/>
          <w:spacing w:val="-3"/>
        </w:rPr>
        <w:t xml:space="preserve">The Anti-Social Behaviour Investigation Team (ASBIT) </w:t>
      </w:r>
      <w:r w:rsidR="007B386E" w:rsidRPr="00287679">
        <w:rPr>
          <w:color w:val="221F1F"/>
          <w:spacing w:val="-3"/>
        </w:rPr>
        <w:t xml:space="preserve">investigated 380 cases.  Their work is </w:t>
      </w:r>
      <w:proofErr w:type="gramStart"/>
      <w:r w:rsidR="001368D3" w:rsidRPr="00287679">
        <w:rPr>
          <w:color w:val="221F1F"/>
          <w:spacing w:val="-3"/>
        </w:rPr>
        <w:t>involves</w:t>
      </w:r>
      <w:proofErr w:type="gramEnd"/>
      <w:r w:rsidR="007B386E" w:rsidRPr="00287679">
        <w:rPr>
          <w:color w:val="221F1F"/>
          <w:spacing w:val="-3"/>
        </w:rPr>
        <w:t xml:space="preserve"> multiple partners including the police, social services, housing providers, health workers including GP surgeries.  Work includes:</w:t>
      </w:r>
    </w:p>
    <w:p w14:paraId="04ED5387" w14:textId="091D21EB" w:rsidR="007B386E" w:rsidRPr="00287679" w:rsidRDefault="007B386E" w:rsidP="000A2A03">
      <w:pPr>
        <w:pStyle w:val="ColorfulList-Accent11"/>
        <w:numPr>
          <w:ilvl w:val="1"/>
          <w:numId w:val="9"/>
        </w:numPr>
        <w:rPr>
          <w:color w:val="221F1F"/>
          <w:spacing w:val="-3"/>
        </w:rPr>
      </w:pPr>
      <w:r w:rsidRPr="00287679">
        <w:rPr>
          <w:color w:val="221F1F"/>
          <w:spacing w:val="-3"/>
        </w:rPr>
        <w:t>Threats of violence and intimidation</w:t>
      </w:r>
      <w:r w:rsidR="001B0915" w:rsidRPr="001B0915">
        <w:rPr>
          <w:noProof/>
        </w:rPr>
        <w:t xml:space="preserve"> </w:t>
      </w:r>
    </w:p>
    <w:p w14:paraId="1FAA1239" w14:textId="77777777" w:rsidR="007B386E" w:rsidRPr="007B386E" w:rsidRDefault="007B386E" w:rsidP="009304B1">
      <w:pPr>
        <w:pStyle w:val="ColorfulList-Accent11"/>
        <w:numPr>
          <w:ilvl w:val="1"/>
          <w:numId w:val="9"/>
        </w:numPr>
        <w:rPr>
          <w:color w:val="221F1F"/>
          <w:spacing w:val="-3"/>
        </w:rPr>
      </w:pPr>
      <w:r w:rsidRPr="007B386E">
        <w:rPr>
          <w:color w:val="221F1F"/>
          <w:spacing w:val="-3"/>
        </w:rPr>
        <w:t>Harassment</w:t>
      </w:r>
    </w:p>
    <w:p w14:paraId="5A89E6AD" w14:textId="3C654488" w:rsidR="007B386E" w:rsidRPr="007B386E" w:rsidRDefault="007B386E" w:rsidP="009304B1">
      <w:pPr>
        <w:pStyle w:val="ColorfulList-Accent11"/>
        <w:numPr>
          <w:ilvl w:val="1"/>
          <w:numId w:val="9"/>
        </w:numPr>
        <w:rPr>
          <w:color w:val="221F1F"/>
          <w:spacing w:val="-3"/>
        </w:rPr>
      </w:pPr>
      <w:r w:rsidRPr="007B386E">
        <w:rPr>
          <w:color w:val="221F1F"/>
          <w:spacing w:val="-3"/>
        </w:rPr>
        <w:t>Safeguarding concerns</w:t>
      </w:r>
    </w:p>
    <w:p w14:paraId="7763701B" w14:textId="77777777" w:rsidR="007B386E" w:rsidRPr="007B386E" w:rsidRDefault="007B386E" w:rsidP="009304B1">
      <w:pPr>
        <w:pStyle w:val="ColorfulList-Accent11"/>
        <w:numPr>
          <w:ilvl w:val="1"/>
          <w:numId w:val="9"/>
        </w:numPr>
        <w:rPr>
          <w:color w:val="221F1F"/>
          <w:spacing w:val="-3"/>
        </w:rPr>
      </w:pPr>
      <w:r w:rsidRPr="007B386E">
        <w:rPr>
          <w:color w:val="221F1F"/>
          <w:spacing w:val="-3"/>
        </w:rPr>
        <w:t>Domestic abuse</w:t>
      </w:r>
    </w:p>
    <w:p w14:paraId="3CD0C647" w14:textId="77777777" w:rsidR="007B386E" w:rsidRDefault="007B386E" w:rsidP="009304B1">
      <w:pPr>
        <w:pStyle w:val="ColorfulList-Accent11"/>
        <w:numPr>
          <w:ilvl w:val="1"/>
          <w:numId w:val="9"/>
        </w:numPr>
        <w:rPr>
          <w:color w:val="221F1F"/>
          <w:spacing w:val="-3"/>
        </w:rPr>
      </w:pPr>
      <w:r w:rsidRPr="007B386E">
        <w:rPr>
          <w:color w:val="221F1F"/>
          <w:spacing w:val="-3"/>
        </w:rPr>
        <w:t>Substance misuse</w:t>
      </w:r>
    </w:p>
    <w:p w14:paraId="6B2D37CA" w14:textId="3DAAEC0B" w:rsidR="001B0915" w:rsidRDefault="00287679" w:rsidP="001B0915">
      <w:pPr>
        <w:pStyle w:val="ColorfulList-Accent11"/>
        <w:numPr>
          <w:ilvl w:val="0"/>
          <w:numId w:val="0"/>
        </w:numPr>
        <w:ind w:left="792"/>
        <w:rPr>
          <w:color w:val="221F1F"/>
          <w:spacing w:val="-3"/>
        </w:rPr>
      </w:pPr>
      <w:r>
        <w:rPr>
          <w:noProof/>
        </w:rPr>
        <w:lastRenderedPageBreak/>
        <w:drawing>
          <wp:anchor distT="0" distB="0" distL="114300" distR="114300" simplePos="0" relativeHeight="251663360" behindDoc="0" locked="0" layoutInCell="1" allowOverlap="1" wp14:anchorId="7C61ADE3" wp14:editId="612E3A43">
            <wp:simplePos x="0" y="0"/>
            <wp:positionH relativeFrom="margin">
              <wp:align>left</wp:align>
            </wp:positionH>
            <wp:positionV relativeFrom="paragraph">
              <wp:posOffset>367665</wp:posOffset>
            </wp:positionV>
            <wp:extent cx="5554980" cy="3322320"/>
            <wp:effectExtent l="0" t="0" r="7620" b="1143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7014DF21" w14:textId="1E76BBFE" w:rsidR="001B0915" w:rsidRPr="000568B3" w:rsidRDefault="001B0915" w:rsidP="00287679">
      <w:pPr>
        <w:pStyle w:val="ColorfulList-Accent11"/>
        <w:numPr>
          <w:ilvl w:val="0"/>
          <w:numId w:val="0"/>
        </w:numPr>
        <w:rPr>
          <w:color w:val="221F1F"/>
          <w:spacing w:val="-3"/>
        </w:rPr>
      </w:pPr>
    </w:p>
    <w:p w14:paraId="30535F0C" w14:textId="776DAEF3" w:rsidR="00ED16B1" w:rsidRPr="00ED16B1" w:rsidRDefault="00ED16B1" w:rsidP="00ED16B1">
      <w:pPr>
        <w:pStyle w:val="ColorfulList-Accent11"/>
        <w:numPr>
          <w:ilvl w:val="0"/>
          <w:numId w:val="0"/>
        </w:numPr>
        <w:tabs>
          <w:tab w:val="clear" w:pos="426"/>
        </w:tabs>
        <w:ind w:left="360" w:hanging="360"/>
        <w:rPr>
          <w:b/>
          <w:color w:val="221F1F"/>
          <w:spacing w:val="-3"/>
        </w:rPr>
      </w:pPr>
      <w:r w:rsidRPr="00ED16B1">
        <w:rPr>
          <w:b/>
          <w:color w:val="221F1F"/>
          <w:spacing w:val="-3"/>
        </w:rPr>
        <w:t>OSCP Priorities for 202</w:t>
      </w:r>
      <w:r w:rsidR="000315B2">
        <w:rPr>
          <w:b/>
          <w:color w:val="221F1F"/>
          <w:spacing w:val="-3"/>
        </w:rPr>
        <w:t>3-24</w:t>
      </w:r>
    </w:p>
    <w:p w14:paraId="5646FA0D" w14:textId="4988E0FC" w:rsidR="002E058C" w:rsidRDefault="001B0915" w:rsidP="002E058C">
      <w:pPr>
        <w:pStyle w:val="ColorfulList-Accent11"/>
        <w:numPr>
          <w:ilvl w:val="0"/>
          <w:numId w:val="9"/>
        </w:numPr>
        <w:tabs>
          <w:tab w:val="clear" w:pos="426"/>
        </w:tabs>
        <w:rPr>
          <w:color w:val="221F1F"/>
          <w:spacing w:val="-3"/>
        </w:rPr>
      </w:pPr>
      <w:r>
        <w:rPr>
          <w:rFonts w:cs="Arial"/>
          <w:color w:val="221F1F"/>
          <w:spacing w:val="-3"/>
        </w:rPr>
        <w:t xml:space="preserve">At an OSCP </w:t>
      </w:r>
      <w:r w:rsidR="001368D3">
        <w:rPr>
          <w:rFonts w:cs="Arial"/>
          <w:color w:val="221F1F"/>
          <w:spacing w:val="-3"/>
        </w:rPr>
        <w:t>Partnership</w:t>
      </w:r>
      <w:r>
        <w:rPr>
          <w:rFonts w:cs="Arial"/>
          <w:color w:val="221F1F"/>
          <w:spacing w:val="-3"/>
        </w:rPr>
        <w:t xml:space="preserve"> Board meeting, held on </w:t>
      </w:r>
      <w:r w:rsidR="002E058C">
        <w:rPr>
          <w:rFonts w:cs="Arial"/>
          <w:color w:val="221F1F"/>
          <w:spacing w:val="-3"/>
        </w:rPr>
        <w:t>31</w:t>
      </w:r>
      <w:r w:rsidR="002E058C" w:rsidRPr="002E058C">
        <w:rPr>
          <w:rFonts w:cs="Arial"/>
          <w:color w:val="221F1F"/>
          <w:spacing w:val="-3"/>
          <w:vertAlign w:val="superscript"/>
        </w:rPr>
        <w:t>st</w:t>
      </w:r>
      <w:r w:rsidR="002E058C">
        <w:rPr>
          <w:rFonts w:cs="Arial"/>
          <w:color w:val="221F1F"/>
          <w:spacing w:val="-3"/>
        </w:rPr>
        <w:t xml:space="preserve"> May 2023, the Board agreed the priorities for 2023-24.  These priorities </w:t>
      </w:r>
      <w:proofErr w:type="gramStart"/>
      <w:r w:rsidR="002E058C">
        <w:rPr>
          <w:rFonts w:cs="Arial"/>
          <w:color w:val="221F1F"/>
          <w:spacing w:val="-3"/>
        </w:rPr>
        <w:t>take i</w:t>
      </w:r>
      <w:r w:rsidR="00ED16B1">
        <w:rPr>
          <w:rFonts w:cs="Arial"/>
          <w:color w:val="221F1F"/>
          <w:spacing w:val="-3"/>
        </w:rPr>
        <w:t>nto account</w:t>
      </w:r>
      <w:proofErr w:type="gramEnd"/>
      <w:r w:rsidR="00ED16B1">
        <w:rPr>
          <w:rFonts w:cs="Arial"/>
          <w:color w:val="221F1F"/>
          <w:spacing w:val="-3"/>
        </w:rPr>
        <w:t xml:space="preserve"> the</w:t>
      </w:r>
      <w:r w:rsidR="00ED16B1" w:rsidRPr="00B20FF6">
        <w:rPr>
          <w:rFonts w:cs="Arial"/>
          <w:color w:val="221F1F"/>
          <w:spacing w:val="-3"/>
        </w:rPr>
        <w:t xml:space="preserve"> </w:t>
      </w:r>
      <w:r w:rsidR="00ED16B1" w:rsidRPr="00D65B6C">
        <w:rPr>
          <w:rFonts w:cs="Arial"/>
          <w:color w:val="221F1F"/>
          <w:spacing w:val="-3"/>
        </w:rPr>
        <w:t>overview of crime trends affecting Oxford</w:t>
      </w:r>
      <w:r w:rsidR="00D252C0">
        <w:rPr>
          <w:rFonts w:cs="Arial"/>
          <w:color w:val="221F1F"/>
          <w:spacing w:val="-3"/>
        </w:rPr>
        <w:t xml:space="preserve">. </w:t>
      </w:r>
      <w:r w:rsidR="009304B1">
        <w:rPr>
          <w:rFonts w:cs="Arial"/>
          <w:color w:val="221F1F"/>
          <w:spacing w:val="-3"/>
        </w:rPr>
        <w:t>The</w:t>
      </w:r>
      <w:r w:rsidR="00D252C0">
        <w:rPr>
          <w:rFonts w:cs="Arial"/>
          <w:color w:val="221F1F"/>
          <w:spacing w:val="-3"/>
        </w:rPr>
        <w:t xml:space="preserve"> p</w:t>
      </w:r>
      <w:r w:rsidR="0087787F">
        <w:t>riorities for 2022-23 are</w:t>
      </w:r>
      <w:r w:rsidR="00AF08D4">
        <w:t>:</w:t>
      </w:r>
      <w:r w:rsidR="002E058C">
        <w:t xml:space="preserve"> </w:t>
      </w:r>
    </w:p>
    <w:p w14:paraId="1A89173D" w14:textId="77777777" w:rsidR="00F20014" w:rsidRDefault="000315B2" w:rsidP="002E058C">
      <w:pPr>
        <w:pStyle w:val="ColorfulList-Accent11"/>
        <w:numPr>
          <w:ilvl w:val="0"/>
          <w:numId w:val="9"/>
        </w:numPr>
        <w:tabs>
          <w:tab w:val="clear" w:pos="426"/>
        </w:tabs>
        <w:rPr>
          <w:color w:val="221F1F"/>
          <w:spacing w:val="-3"/>
        </w:rPr>
      </w:pPr>
      <w:r w:rsidRPr="002E058C">
        <w:rPr>
          <w:color w:val="221F1F"/>
          <w:spacing w:val="-3"/>
        </w:rPr>
        <w:t>Delivering neighbourhood crime priorities such as drug misuse and dealing, anti-social behaviour and alcohol-related violence through the partnership’s Neighbourhood Problem-Solving Framework.</w:t>
      </w:r>
      <w:r w:rsidR="002E058C" w:rsidRPr="002E058C">
        <w:rPr>
          <w:color w:val="221F1F"/>
          <w:spacing w:val="-3"/>
        </w:rPr>
        <w:t xml:space="preserve"> </w:t>
      </w:r>
    </w:p>
    <w:p w14:paraId="493871B0" w14:textId="30D8BA4E" w:rsidR="00F20014" w:rsidRDefault="000315B2" w:rsidP="00F20014">
      <w:pPr>
        <w:pStyle w:val="ColorfulList-Accent11"/>
        <w:numPr>
          <w:ilvl w:val="0"/>
          <w:numId w:val="9"/>
        </w:numPr>
        <w:tabs>
          <w:tab w:val="clear" w:pos="426"/>
        </w:tabs>
        <w:rPr>
          <w:color w:val="221F1F"/>
          <w:spacing w:val="-3"/>
        </w:rPr>
      </w:pPr>
      <w:r w:rsidRPr="002E058C">
        <w:rPr>
          <w:color w:val="221F1F"/>
          <w:spacing w:val="-3"/>
        </w:rPr>
        <w:t xml:space="preserve">Continue to use our Common Place consultation process to engage with our communities </w:t>
      </w:r>
      <w:r w:rsidR="009304B1" w:rsidRPr="002E058C">
        <w:rPr>
          <w:color w:val="221F1F"/>
          <w:spacing w:val="-3"/>
        </w:rPr>
        <w:t>to</w:t>
      </w:r>
      <w:r w:rsidRPr="002E058C">
        <w:rPr>
          <w:color w:val="221F1F"/>
          <w:spacing w:val="-3"/>
        </w:rPr>
        <w:t xml:space="preserve"> understand their community safety concerns and develop responses.</w:t>
      </w:r>
    </w:p>
    <w:p w14:paraId="7D60C0E5" w14:textId="51A742CE" w:rsidR="00F20014" w:rsidRDefault="000315B2" w:rsidP="00F20014">
      <w:pPr>
        <w:pStyle w:val="ColorfulList-Accent11"/>
        <w:numPr>
          <w:ilvl w:val="0"/>
          <w:numId w:val="9"/>
        </w:numPr>
        <w:tabs>
          <w:tab w:val="clear" w:pos="426"/>
        </w:tabs>
        <w:rPr>
          <w:color w:val="221F1F"/>
          <w:spacing w:val="-3"/>
        </w:rPr>
      </w:pPr>
      <w:r w:rsidRPr="00F20014">
        <w:rPr>
          <w:color w:val="221F1F"/>
          <w:spacing w:val="-3"/>
        </w:rPr>
        <w:t xml:space="preserve">Support the police to deliver </w:t>
      </w:r>
      <w:r w:rsidR="00F20014">
        <w:rPr>
          <w:color w:val="221F1F"/>
          <w:spacing w:val="-3"/>
        </w:rPr>
        <w:t>their hate crime action plan.</w:t>
      </w:r>
    </w:p>
    <w:p w14:paraId="24A1A9B3" w14:textId="0B373424" w:rsidR="000315B2" w:rsidRPr="00F20014" w:rsidRDefault="000315B2" w:rsidP="00F20014">
      <w:pPr>
        <w:pStyle w:val="ColorfulList-Accent11"/>
        <w:numPr>
          <w:ilvl w:val="0"/>
          <w:numId w:val="9"/>
        </w:numPr>
        <w:tabs>
          <w:tab w:val="clear" w:pos="426"/>
        </w:tabs>
        <w:rPr>
          <w:color w:val="221F1F"/>
          <w:spacing w:val="-3"/>
        </w:rPr>
      </w:pPr>
      <w:r w:rsidRPr="00F20014">
        <w:rPr>
          <w:color w:val="221F1F"/>
          <w:spacing w:val="-3"/>
        </w:rPr>
        <w:t>Work with partners in Oxfordshire to evaluate the feasibility of an Oxfordshire CCTV Hub.</w:t>
      </w:r>
      <w:r w:rsidR="00F20014">
        <w:rPr>
          <w:color w:val="221F1F"/>
          <w:spacing w:val="-3"/>
        </w:rPr>
        <w:t xml:space="preserve"> </w:t>
      </w:r>
    </w:p>
    <w:p w14:paraId="68F8111D" w14:textId="77777777" w:rsidR="000315B2" w:rsidRDefault="000315B2" w:rsidP="00F20014">
      <w:pPr>
        <w:pStyle w:val="ColorfulList-Accent11"/>
        <w:numPr>
          <w:ilvl w:val="0"/>
          <w:numId w:val="9"/>
        </w:numPr>
        <w:tabs>
          <w:tab w:val="clear" w:pos="426"/>
        </w:tabs>
        <w:rPr>
          <w:color w:val="221F1F"/>
          <w:spacing w:val="-3"/>
        </w:rPr>
      </w:pPr>
      <w:r w:rsidRPr="000315B2">
        <w:rPr>
          <w:color w:val="221F1F"/>
          <w:spacing w:val="-3"/>
        </w:rPr>
        <w:t>Support the implementation of the Prevent Duty and Martyn’s Law to protect our communities from the risk p</w:t>
      </w:r>
      <w:r>
        <w:rPr>
          <w:color w:val="221F1F"/>
          <w:spacing w:val="-3"/>
        </w:rPr>
        <w:t>osed by extremist activities.</w:t>
      </w:r>
    </w:p>
    <w:p w14:paraId="0FB5849E" w14:textId="77777777" w:rsidR="000315B2" w:rsidRDefault="000315B2" w:rsidP="00F20014">
      <w:pPr>
        <w:pStyle w:val="ColorfulList-Accent11"/>
        <w:numPr>
          <w:ilvl w:val="0"/>
          <w:numId w:val="9"/>
        </w:numPr>
        <w:tabs>
          <w:tab w:val="clear" w:pos="426"/>
        </w:tabs>
        <w:rPr>
          <w:color w:val="221F1F"/>
          <w:spacing w:val="-3"/>
        </w:rPr>
      </w:pPr>
      <w:r w:rsidRPr="000315B2">
        <w:rPr>
          <w:color w:val="221F1F"/>
          <w:spacing w:val="-3"/>
        </w:rPr>
        <w:t>Reduce the leve</w:t>
      </w:r>
      <w:r>
        <w:rPr>
          <w:color w:val="221F1F"/>
          <w:spacing w:val="-3"/>
        </w:rPr>
        <w:t>l of cycle crime in the city.</w:t>
      </w:r>
    </w:p>
    <w:p w14:paraId="41AD5746" w14:textId="77777777" w:rsidR="000315B2" w:rsidRDefault="000315B2" w:rsidP="00F20014">
      <w:pPr>
        <w:pStyle w:val="ColorfulList-Accent11"/>
        <w:numPr>
          <w:ilvl w:val="0"/>
          <w:numId w:val="9"/>
        </w:numPr>
        <w:tabs>
          <w:tab w:val="clear" w:pos="426"/>
        </w:tabs>
        <w:rPr>
          <w:color w:val="221F1F"/>
          <w:spacing w:val="-3"/>
        </w:rPr>
      </w:pPr>
      <w:r w:rsidRPr="000315B2">
        <w:rPr>
          <w:color w:val="221F1F"/>
          <w:spacing w:val="-3"/>
        </w:rPr>
        <w:t>Develop the Interact web-based crime dashboard to better understand local community safety trends and evaluate interventions.</w:t>
      </w:r>
    </w:p>
    <w:p w14:paraId="73A7FBEC" w14:textId="77777777" w:rsidR="001368D3" w:rsidRPr="001368D3" w:rsidRDefault="000315B2" w:rsidP="001368D3">
      <w:pPr>
        <w:pStyle w:val="ColorfulList-Accent11"/>
        <w:numPr>
          <w:ilvl w:val="0"/>
          <w:numId w:val="9"/>
        </w:numPr>
        <w:contextualSpacing/>
        <w:rPr>
          <w:color w:val="221F1F"/>
          <w:spacing w:val="-3"/>
        </w:rPr>
      </w:pPr>
      <w:r w:rsidRPr="000315B2">
        <w:rPr>
          <w:color w:val="221F1F"/>
          <w:spacing w:val="-3"/>
        </w:rPr>
        <w:t>Reduce serious violence and exploitation by:</w:t>
      </w:r>
      <w:r w:rsidR="001368D3" w:rsidRPr="001368D3">
        <w:t xml:space="preserve"> </w:t>
      </w:r>
    </w:p>
    <w:p w14:paraId="72710FFF" w14:textId="6817C9DC" w:rsidR="001368D3" w:rsidRPr="001368D3" w:rsidRDefault="001368D3" w:rsidP="00287679">
      <w:pPr>
        <w:pStyle w:val="ColorfulList-Accent11"/>
        <w:numPr>
          <w:ilvl w:val="1"/>
          <w:numId w:val="9"/>
        </w:numPr>
        <w:rPr>
          <w:color w:val="221F1F"/>
          <w:spacing w:val="-3"/>
        </w:rPr>
      </w:pPr>
      <w:r w:rsidRPr="001368D3">
        <w:rPr>
          <w:color w:val="221F1F"/>
          <w:spacing w:val="-3"/>
        </w:rPr>
        <w:t>Implementing Oxfordshire’s Modern Slavery Delivery Plan, led by the Oxfordshire Anti-Slavery Coordinator.</w:t>
      </w:r>
    </w:p>
    <w:p w14:paraId="767F9B26" w14:textId="77777777" w:rsidR="001368D3" w:rsidRPr="001368D3" w:rsidRDefault="001368D3" w:rsidP="00287679">
      <w:pPr>
        <w:pStyle w:val="ColorfulList-Accent11"/>
        <w:numPr>
          <w:ilvl w:val="1"/>
          <w:numId w:val="9"/>
        </w:numPr>
        <w:rPr>
          <w:color w:val="221F1F"/>
          <w:spacing w:val="-3"/>
        </w:rPr>
      </w:pPr>
      <w:r w:rsidRPr="001368D3">
        <w:rPr>
          <w:color w:val="221F1F"/>
          <w:spacing w:val="-3"/>
        </w:rPr>
        <w:t>Working in partnership with the Thames Valley Violence Reduction Unit and local partners across Oxfordshire to deliver the Serious Violence Duty.</w:t>
      </w:r>
    </w:p>
    <w:p w14:paraId="6DC6F81E" w14:textId="77777777" w:rsidR="001368D3" w:rsidRPr="001368D3" w:rsidRDefault="001368D3" w:rsidP="00287679">
      <w:pPr>
        <w:pStyle w:val="ColorfulList-Accent11"/>
        <w:numPr>
          <w:ilvl w:val="1"/>
          <w:numId w:val="9"/>
        </w:numPr>
        <w:spacing w:before="120"/>
        <w:ind w:left="788" w:hanging="431"/>
        <w:rPr>
          <w:color w:val="221F1F"/>
          <w:spacing w:val="-3"/>
        </w:rPr>
      </w:pPr>
      <w:r w:rsidRPr="001368D3">
        <w:rPr>
          <w:color w:val="221F1F"/>
          <w:spacing w:val="-3"/>
        </w:rPr>
        <w:lastRenderedPageBreak/>
        <w:t>Continue to work with statutory partners across Oxfordshire to tackle child exploitation.</w:t>
      </w:r>
      <w:r w:rsidRPr="001368D3">
        <w:t xml:space="preserve"> </w:t>
      </w:r>
    </w:p>
    <w:p w14:paraId="0C3FEC46" w14:textId="70B513D6" w:rsidR="001368D3" w:rsidRPr="001368D3" w:rsidRDefault="001368D3" w:rsidP="00287679">
      <w:pPr>
        <w:pStyle w:val="ColorfulList-Accent11"/>
        <w:numPr>
          <w:ilvl w:val="0"/>
          <w:numId w:val="9"/>
        </w:numPr>
        <w:tabs>
          <w:tab w:val="clear" w:pos="426"/>
        </w:tabs>
        <w:rPr>
          <w:color w:val="221F1F"/>
          <w:spacing w:val="-3"/>
        </w:rPr>
      </w:pPr>
      <w:r w:rsidRPr="001368D3">
        <w:rPr>
          <w:color w:val="221F1F"/>
          <w:spacing w:val="-3"/>
        </w:rPr>
        <w:t>To support the Government’s Violence against Women and Girls Strategy by:</w:t>
      </w:r>
    </w:p>
    <w:p w14:paraId="0B57F3A7" w14:textId="77777777" w:rsidR="001368D3" w:rsidRPr="001368D3" w:rsidRDefault="001368D3" w:rsidP="001368D3">
      <w:pPr>
        <w:pStyle w:val="ColorfulList-Accent11"/>
        <w:numPr>
          <w:ilvl w:val="1"/>
          <w:numId w:val="9"/>
        </w:numPr>
        <w:rPr>
          <w:color w:val="221F1F"/>
          <w:spacing w:val="-3"/>
        </w:rPr>
      </w:pPr>
      <w:r w:rsidRPr="001368D3">
        <w:rPr>
          <w:color w:val="221F1F"/>
          <w:spacing w:val="-3"/>
        </w:rPr>
        <w:t xml:space="preserve">Delivering the </w:t>
      </w:r>
      <w:proofErr w:type="spellStart"/>
      <w:r w:rsidRPr="001368D3">
        <w:rPr>
          <w:color w:val="221F1F"/>
          <w:spacing w:val="-3"/>
        </w:rPr>
        <w:t>NightSafe</w:t>
      </w:r>
      <w:proofErr w:type="spellEnd"/>
      <w:r w:rsidRPr="001368D3">
        <w:rPr>
          <w:color w:val="221F1F"/>
          <w:spacing w:val="-3"/>
        </w:rPr>
        <w:t xml:space="preserve"> 2023 programme in partnership with the Oxford </w:t>
      </w:r>
      <w:proofErr w:type="spellStart"/>
      <w:r w:rsidRPr="001368D3">
        <w:rPr>
          <w:color w:val="221F1F"/>
          <w:spacing w:val="-3"/>
        </w:rPr>
        <w:t>NightSafe</w:t>
      </w:r>
      <w:proofErr w:type="spellEnd"/>
      <w:r w:rsidRPr="001368D3">
        <w:rPr>
          <w:color w:val="221F1F"/>
          <w:spacing w:val="-3"/>
        </w:rPr>
        <w:t xml:space="preserve"> Network.</w:t>
      </w:r>
    </w:p>
    <w:p w14:paraId="482B0650" w14:textId="77777777" w:rsidR="001368D3" w:rsidRPr="001368D3" w:rsidRDefault="001368D3" w:rsidP="001368D3">
      <w:pPr>
        <w:pStyle w:val="ColorfulList-Accent11"/>
        <w:numPr>
          <w:ilvl w:val="1"/>
          <w:numId w:val="9"/>
        </w:numPr>
        <w:rPr>
          <w:color w:val="221F1F"/>
          <w:spacing w:val="-3"/>
        </w:rPr>
      </w:pPr>
      <w:r w:rsidRPr="001368D3">
        <w:rPr>
          <w:color w:val="221F1F"/>
          <w:spacing w:val="-3"/>
        </w:rPr>
        <w:t>Continuing to tackle domestic abuse by attainment Domestic Abuse Housing Accreditation (DAHA) in Oxford City Council and support the Oxfordshire Domestic Abuse Strategy Group.</w:t>
      </w:r>
    </w:p>
    <w:p w14:paraId="359E1131" w14:textId="77777777" w:rsidR="001368D3" w:rsidRPr="001368D3" w:rsidRDefault="001368D3" w:rsidP="001368D3">
      <w:pPr>
        <w:pStyle w:val="ColorfulList-Accent11"/>
        <w:numPr>
          <w:ilvl w:val="1"/>
          <w:numId w:val="9"/>
        </w:numPr>
        <w:rPr>
          <w:color w:val="221F1F"/>
          <w:spacing w:val="-3"/>
        </w:rPr>
      </w:pPr>
      <w:r w:rsidRPr="001368D3">
        <w:rPr>
          <w:color w:val="221F1F"/>
          <w:spacing w:val="-3"/>
        </w:rPr>
        <w:t>Commissioning domestic homicide reviews in Oxford.</w:t>
      </w:r>
    </w:p>
    <w:p w14:paraId="3FB9BAC7" w14:textId="4188880C" w:rsidR="004F437B" w:rsidRPr="001368D3" w:rsidRDefault="001368D3" w:rsidP="001368D3">
      <w:pPr>
        <w:pStyle w:val="ColorfulList-Accent11"/>
        <w:numPr>
          <w:ilvl w:val="1"/>
          <w:numId w:val="9"/>
        </w:numPr>
        <w:rPr>
          <w:color w:val="221F1F"/>
          <w:spacing w:val="-3"/>
        </w:rPr>
      </w:pPr>
      <w:r w:rsidRPr="001368D3">
        <w:rPr>
          <w:color w:val="221F1F"/>
          <w:spacing w:val="-3"/>
        </w:rPr>
        <w:t>Supporting Thames Valley Police’s VAWG Strategy</w:t>
      </w:r>
      <w:r>
        <w:rPr>
          <w:color w:val="221F1F"/>
          <w:spacing w:val="-3"/>
        </w:rPr>
        <w:t>.</w:t>
      </w:r>
    </w:p>
    <w:p w14:paraId="533F4BC5" w14:textId="77777777" w:rsidR="007717F1" w:rsidRDefault="007717F1" w:rsidP="00D65B6C">
      <w:pPr>
        <w:pStyle w:val="ListParagraph"/>
        <w:tabs>
          <w:tab w:val="left" w:pos="463"/>
          <w:tab w:val="left" w:pos="464"/>
        </w:tabs>
        <w:spacing w:before="48" w:line="288" w:lineRule="exact"/>
        <w:ind w:left="403" w:right="907" w:firstLine="0"/>
        <w:rPr>
          <w:rFonts w:ascii="Arial" w:hAnsi="Arial"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F093E" w:rsidRPr="001356F1" w14:paraId="053B072C" w14:textId="77777777" w:rsidTr="004F437B">
        <w:trPr>
          <w:cantSplit/>
          <w:trHeight w:val="396"/>
        </w:trPr>
        <w:tc>
          <w:tcPr>
            <w:tcW w:w="3951" w:type="dxa"/>
            <w:tcBorders>
              <w:top w:val="single" w:sz="8" w:space="0" w:color="000000"/>
              <w:left w:val="single" w:sz="8" w:space="0" w:color="000000"/>
              <w:bottom w:val="single" w:sz="8" w:space="0" w:color="000000"/>
              <w:right w:val="nil"/>
            </w:tcBorders>
            <w:shd w:val="clear" w:color="auto" w:fill="auto"/>
          </w:tcPr>
          <w:p w14:paraId="3E4A987D" w14:textId="77777777" w:rsidR="00E87F7A" w:rsidRPr="001356F1" w:rsidRDefault="009B40DF" w:rsidP="00A46E98">
            <w:pPr>
              <w:rPr>
                <w:b/>
              </w:rPr>
            </w:pPr>
            <w:r>
              <w:rPr>
                <w:rFonts w:cs="Arial"/>
              </w:rPr>
              <w:br w:type="page"/>
            </w:r>
            <w:r w:rsidR="00AE4793">
              <w:t xml:space="preserve"> </w:t>
            </w:r>
            <w:r w:rsidR="00E87F7A" w:rsidRPr="001356F1">
              <w:rPr>
                <w:b/>
              </w:rPr>
              <w:t>Report author</w:t>
            </w:r>
          </w:p>
        </w:tc>
        <w:tc>
          <w:tcPr>
            <w:tcW w:w="4947" w:type="dxa"/>
            <w:tcBorders>
              <w:top w:val="single" w:sz="8" w:space="0" w:color="000000"/>
              <w:left w:val="nil"/>
              <w:bottom w:val="single" w:sz="8" w:space="0" w:color="000000"/>
              <w:right w:val="single" w:sz="8" w:space="0" w:color="000000"/>
            </w:tcBorders>
            <w:shd w:val="clear" w:color="auto" w:fill="auto"/>
          </w:tcPr>
          <w:p w14:paraId="4EC8B7AB" w14:textId="77777777" w:rsidR="00E87F7A" w:rsidRPr="001356F1" w:rsidRDefault="00BC144C" w:rsidP="00A46E98">
            <w:r>
              <w:t>Richard Adams</w:t>
            </w:r>
          </w:p>
        </w:tc>
      </w:tr>
      <w:tr w:rsidR="00DF093E" w:rsidRPr="001356F1" w14:paraId="0FE655AE" w14:textId="77777777" w:rsidTr="004F437B">
        <w:trPr>
          <w:cantSplit/>
          <w:trHeight w:val="396"/>
        </w:trPr>
        <w:tc>
          <w:tcPr>
            <w:tcW w:w="3951" w:type="dxa"/>
            <w:tcBorders>
              <w:top w:val="single" w:sz="8" w:space="0" w:color="000000"/>
              <w:left w:val="single" w:sz="8" w:space="0" w:color="000000"/>
              <w:bottom w:val="nil"/>
              <w:right w:val="nil"/>
            </w:tcBorders>
            <w:shd w:val="clear" w:color="auto" w:fill="auto"/>
          </w:tcPr>
          <w:p w14:paraId="448ED39D" w14:textId="77777777" w:rsidR="00E87F7A" w:rsidRPr="001356F1" w:rsidRDefault="00E87F7A" w:rsidP="00A46E98">
            <w:r w:rsidRPr="001356F1">
              <w:t>Job title</w:t>
            </w:r>
          </w:p>
        </w:tc>
        <w:tc>
          <w:tcPr>
            <w:tcW w:w="4947" w:type="dxa"/>
            <w:tcBorders>
              <w:top w:val="single" w:sz="8" w:space="0" w:color="000000"/>
              <w:left w:val="nil"/>
              <w:bottom w:val="nil"/>
              <w:right w:val="single" w:sz="8" w:space="0" w:color="000000"/>
            </w:tcBorders>
            <w:shd w:val="clear" w:color="auto" w:fill="auto"/>
          </w:tcPr>
          <w:p w14:paraId="36590374" w14:textId="77777777" w:rsidR="00E87F7A" w:rsidRPr="001356F1" w:rsidRDefault="00BC144C" w:rsidP="00A46E98">
            <w:r>
              <w:t>Community Safety Service Manager</w:t>
            </w:r>
          </w:p>
        </w:tc>
      </w:tr>
      <w:tr w:rsidR="00DF093E" w:rsidRPr="001356F1" w14:paraId="361D39CE" w14:textId="77777777" w:rsidTr="004F437B">
        <w:trPr>
          <w:cantSplit/>
          <w:trHeight w:val="396"/>
        </w:trPr>
        <w:tc>
          <w:tcPr>
            <w:tcW w:w="3951" w:type="dxa"/>
            <w:tcBorders>
              <w:top w:val="nil"/>
              <w:left w:val="single" w:sz="8" w:space="0" w:color="000000"/>
              <w:bottom w:val="nil"/>
              <w:right w:val="nil"/>
            </w:tcBorders>
            <w:shd w:val="clear" w:color="auto" w:fill="auto"/>
          </w:tcPr>
          <w:p w14:paraId="1271B434" w14:textId="77777777" w:rsidR="00E87F7A" w:rsidRPr="001356F1" w:rsidRDefault="00E87F7A" w:rsidP="00A46E98">
            <w:r w:rsidRPr="001356F1">
              <w:t>Service area or department</w:t>
            </w:r>
          </w:p>
        </w:tc>
        <w:tc>
          <w:tcPr>
            <w:tcW w:w="4947" w:type="dxa"/>
            <w:tcBorders>
              <w:top w:val="nil"/>
              <w:left w:val="nil"/>
              <w:bottom w:val="nil"/>
              <w:right w:val="single" w:sz="8" w:space="0" w:color="000000"/>
            </w:tcBorders>
            <w:shd w:val="clear" w:color="auto" w:fill="auto"/>
          </w:tcPr>
          <w:p w14:paraId="2F1AE703" w14:textId="77777777" w:rsidR="00E87F7A" w:rsidRPr="001356F1" w:rsidRDefault="00BC144C" w:rsidP="00A46E98">
            <w:r>
              <w:t>Community Service</w:t>
            </w:r>
          </w:p>
        </w:tc>
      </w:tr>
      <w:tr w:rsidR="00DF093E" w:rsidRPr="001356F1" w14:paraId="4C0F1851" w14:textId="77777777" w:rsidTr="004F437B">
        <w:trPr>
          <w:cantSplit/>
          <w:trHeight w:val="396"/>
        </w:trPr>
        <w:tc>
          <w:tcPr>
            <w:tcW w:w="3951" w:type="dxa"/>
            <w:tcBorders>
              <w:top w:val="nil"/>
              <w:left w:val="single" w:sz="8" w:space="0" w:color="000000"/>
              <w:bottom w:val="nil"/>
              <w:right w:val="nil"/>
            </w:tcBorders>
            <w:shd w:val="clear" w:color="auto" w:fill="auto"/>
          </w:tcPr>
          <w:p w14:paraId="1A3F53E7" w14:textId="77777777" w:rsidR="00E87F7A" w:rsidRPr="001356F1" w:rsidRDefault="00E87F7A" w:rsidP="00A46E98">
            <w:r w:rsidRPr="001356F1">
              <w:t xml:space="preserve">Telephone </w:t>
            </w:r>
          </w:p>
        </w:tc>
        <w:tc>
          <w:tcPr>
            <w:tcW w:w="4947" w:type="dxa"/>
            <w:tcBorders>
              <w:top w:val="nil"/>
              <w:left w:val="nil"/>
              <w:bottom w:val="nil"/>
              <w:right w:val="single" w:sz="8" w:space="0" w:color="000000"/>
            </w:tcBorders>
            <w:shd w:val="clear" w:color="auto" w:fill="auto"/>
          </w:tcPr>
          <w:p w14:paraId="0A828403" w14:textId="77777777" w:rsidR="00E87F7A" w:rsidRPr="001356F1" w:rsidRDefault="00E87F7A" w:rsidP="00BC144C">
            <w:r w:rsidRPr="001356F1">
              <w:t xml:space="preserve">01865 </w:t>
            </w:r>
            <w:r w:rsidR="00BC144C">
              <w:t>252283</w:t>
            </w:r>
          </w:p>
        </w:tc>
      </w:tr>
      <w:tr w:rsidR="005570B5" w:rsidRPr="001356F1" w14:paraId="6DCBA26C" w14:textId="77777777" w:rsidTr="004F437B">
        <w:trPr>
          <w:cantSplit/>
          <w:trHeight w:val="396"/>
        </w:trPr>
        <w:tc>
          <w:tcPr>
            <w:tcW w:w="3951" w:type="dxa"/>
            <w:tcBorders>
              <w:top w:val="nil"/>
              <w:left w:val="single" w:sz="8" w:space="0" w:color="000000"/>
              <w:bottom w:val="single" w:sz="8" w:space="0" w:color="000000"/>
              <w:right w:val="nil"/>
            </w:tcBorders>
            <w:shd w:val="clear" w:color="auto" w:fill="auto"/>
          </w:tcPr>
          <w:p w14:paraId="7A24C239" w14:textId="77777777" w:rsidR="00E87F7A" w:rsidRPr="001356F1" w:rsidRDefault="00E87F7A" w:rsidP="00A46E98">
            <w:r w:rsidRPr="001356F1">
              <w:t xml:space="preserve">e-mail </w:t>
            </w:r>
          </w:p>
        </w:tc>
        <w:tc>
          <w:tcPr>
            <w:tcW w:w="4947" w:type="dxa"/>
            <w:tcBorders>
              <w:top w:val="nil"/>
              <w:left w:val="nil"/>
              <w:bottom w:val="single" w:sz="8" w:space="0" w:color="000000"/>
              <w:right w:val="single" w:sz="8" w:space="0" w:color="000000"/>
            </w:tcBorders>
            <w:shd w:val="clear" w:color="auto" w:fill="auto"/>
          </w:tcPr>
          <w:p w14:paraId="6F3C0D00" w14:textId="77777777" w:rsidR="00E87F7A" w:rsidRPr="001356F1" w:rsidRDefault="00BC144C" w:rsidP="00A46E98">
            <w:pPr>
              <w:rPr>
                <w:rStyle w:val="Hyperlink"/>
                <w:color w:val="000000"/>
              </w:rPr>
            </w:pPr>
            <w:r>
              <w:rPr>
                <w:rStyle w:val="Hyperlink"/>
                <w:color w:val="000000"/>
              </w:rPr>
              <w:t>r</w:t>
            </w:r>
            <w:r w:rsidR="00A200B9">
              <w:rPr>
                <w:rStyle w:val="Hyperlink"/>
                <w:color w:val="000000"/>
              </w:rPr>
              <w:t>j</w:t>
            </w:r>
            <w:r>
              <w:rPr>
                <w:rStyle w:val="Hyperlink"/>
                <w:color w:val="000000"/>
              </w:rPr>
              <w:t>adams@oxford.gov.uk</w:t>
            </w:r>
          </w:p>
        </w:tc>
      </w:tr>
    </w:tbl>
    <w:p w14:paraId="3822F8F4"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F093E" w:rsidRPr="001356F1" w14:paraId="3D5E85BD"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0B57BE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E3D6811" w14:textId="77777777" w:rsidR="00821AAF" w:rsidRPr="009E51FC" w:rsidRDefault="00821AAF" w:rsidP="00F70148"/>
    <w:sectPr w:rsidR="00821AAF" w:rsidRPr="009E51FC" w:rsidSect="004D710B">
      <w:footerReference w:type="even" r:id="rId14"/>
      <w:headerReference w:type="first" r:id="rId15"/>
      <w:footerReference w:type="first" r:id="rId16"/>
      <w:pgSz w:w="11906" w:h="16838" w:code="9"/>
      <w:pgMar w:top="1440" w:right="1440" w:bottom="1440" w:left="1440"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6542" w14:textId="77777777" w:rsidR="0079103E" w:rsidRDefault="0079103E" w:rsidP="004A6D2F">
      <w:r>
        <w:separator/>
      </w:r>
    </w:p>
  </w:endnote>
  <w:endnote w:type="continuationSeparator" w:id="0">
    <w:p w14:paraId="4332C8F9" w14:textId="77777777" w:rsidR="0079103E" w:rsidRDefault="0079103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9619" w14:textId="77777777" w:rsidR="00546942" w:rsidRDefault="00546942" w:rsidP="004A6D2F">
    <w:pPr>
      <w:pStyle w:val="Footer"/>
    </w:pPr>
    <w:r>
      <w:t>Do not use a footer or page numbers.</w:t>
    </w:r>
  </w:p>
  <w:p w14:paraId="2DEB24C9" w14:textId="77777777" w:rsidR="00546942" w:rsidRDefault="00546942" w:rsidP="004A6D2F">
    <w:pPr>
      <w:pStyle w:val="Footer"/>
    </w:pPr>
  </w:p>
  <w:p w14:paraId="30EEF57B" w14:textId="77777777" w:rsidR="00546942" w:rsidRDefault="00546942"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D72E" w14:textId="77777777" w:rsidR="00546942" w:rsidRDefault="00546942"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4E29" w14:textId="77777777" w:rsidR="0079103E" w:rsidRDefault="0079103E" w:rsidP="004A6D2F">
      <w:r>
        <w:separator/>
      </w:r>
    </w:p>
  </w:footnote>
  <w:footnote w:type="continuationSeparator" w:id="0">
    <w:p w14:paraId="48AB151C" w14:textId="77777777" w:rsidR="0079103E" w:rsidRDefault="0079103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03B9" w14:textId="77777777" w:rsidR="00546942" w:rsidRDefault="001837FE" w:rsidP="00D5547E">
    <w:pPr>
      <w:pStyle w:val="Header"/>
      <w:jc w:val="right"/>
    </w:pPr>
    <w:r>
      <w:rPr>
        <w:noProof/>
      </w:rPr>
      <w:drawing>
        <wp:inline distT="0" distB="0" distL="0" distR="0" wp14:anchorId="3FAFC956" wp14:editId="55CBBA10">
          <wp:extent cx="838200" cy="11176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30E6C"/>
    <w:multiLevelType w:val="hybridMultilevel"/>
    <w:tmpl w:val="03B20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A4A98"/>
    <w:multiLevelType w:val="multilevel"/>
    <w:tmpl w:val="4FCE09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86146B"/>
    <w:multiLevelType w:val="multilevel"/>
    <w:tmpl w:val="79A8C92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3607D7"/>
    <w:multiLevelType w:val="hybridMultilevel"/>
    <w:tmpl w:val="8A7A01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15B256A"/>
    <w:multiLevelType w:val="multilevel"/>
    <w:tmpl w:val="02AE418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3B950CE"/>
    <w:multiLevelType w:val="multilevel"/>
    <w:tmpl w:val="37147ED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075162"/>
    <w:multiLevelType w:val="multilevel"/>
    <w:tmpl w:val="E0E421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8365C6"/>
    <w:multiLevelType w:val="multilevel"/>
    <w:tmpl w:val="443C09CE"/>
    <w:lvl w:ilvl="0">
      <w:start w:val="3"/>
      <w:numFmt w:val="decimal"/>
      <w:pStyle w:val="ColorfulList-Accent11"/>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22330537">
    <w:abstractNumId w:val="0"/>
  </w:num>
  <w:num w:numId="2" w16cid:durableId="1729693062">
    <w:abstractNumId w:val="11"/>
  </w:num>
  <w:num w:numId="3" w16cid:durableId="384909385">
    <w:abstractNumId w:val="4"/>
  </w:num>
  <w:num w:numId="4" w16cid:durableId="1903515540">
    <w:abstractNumId w:val="1"/>
  </w:num>
  <w:num w:numId="5" w16cid:durableId="1069693065">
    <w:abstractNumId w:val="10"/>
  </w:num>
  <w:num w:numId="6" w16cid:durableId="851336448">
    <w:abstractNumId w:val="7"/>
  </w:num>
  <w:num w:numId="7" w16cid:durableId="650214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0431860">
    <w:abstractNumId w:val="11"/>
  </w:num>
  <w:num w:numId="9" w16cid:durableId="1538273087">
    <w:abstractNumId w:val="5"/>
  </w:num>
  <w:num w:numId="10" w16cid:durableId="1544829285">
    <w:abstractNumId w:val="9"/>
  </w:num>
  <w:num w:numId="11" w16cid:durableId="1940720551">
    <w:abstractNumId w:val="11"/>
  </w:num>
  <w:num w:numId="12" w16cid:durableId="991639351">
    <w:abstractNumId w:val="11"/>
  </w:num>
  <w:num w:numId="13" w16cid:durableId="1654525042">
    <w:abstractNumId w:val="11"/>
  </w:num>
  <w:num w:numId="14" w16cid:durableId="1368028206">
    <w:abstractNumId w:val="11"/>
  </w:num>
  <w:num w:numId="15" w16cid:durableId="676083438">
    <w:abstractNumId w:val="2"/>
  </w:num>
  <w:num w:numId="16" w16cid:durableId="509762402">
    <w:abstractNumId w:val="11"/>
  </w:num>
  <w:num w:numId="17" w16cid:durableId="1736779834">
    <w:abstractNumId w:val="11"/>
  </w:num>
  <w:num w:numId="18" w16cid:durableId="1936474134">
    <w:abstractNumId w:val="11"/>
  </w:num>
  <w:num w:numId="19" w16cid:durableId="1041980975">
    <w:abstractNumId w:val="11"/>
  </w:num>
  <w:num w:numId="20" w16cid:durableId="1389184189">
    <w:abstractNumId w:val="11"/>
  </w:num>
  <w:num w:numId="21" w16cid:durableId="1845440541">
    <w:abstractNumId w:val="11"/>
  </w:num>
  <w:num w:numId="22" w16cid:durableId="1931739911">
    <w:abstractNumId w:val="8"/>
  </w:num>
  <w:num w:numId="23" w16cid:durableId="1500853249">
    <w:abstractNumId w:val="3"/>
  </w:num>
  <w:num w:numId="24" w16cid:durableId="104621071">
    <w:abstractNumId w:val="11"/>
  </w:num>
  <w:num w:numId="25" w16cid:durableId="1096024077">
    <w:abstractNumId w:val="11"/>
  </w:num>
  <w:num w:numId="26" w16cid:durableId="79128507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17D4"/>
    <w:rsid w:val="000143A0"/>
    <w:rsid w:val="00024F33"/>
    <w:rsid w:val="000315B2"/>
    <w:rsid w:val="00045F8B"/>
    <w:rsid w:val="00046D2B"/>
    <w:rsid w:val="00056263"/>
    <w:rsid w:val="000568B3"/>
    <w:rsid w:val="00064D8A"/>
    <w:rsid w:val="00064F82"/>
    <w:rsid w:val="00066510"/>
    <w:rsid w:val="00077523"/>
    <w:rsid w:val="0009076D"/>
    <w:rsid w:val="00096EED"/>
    <w:rsid w:val="000C089F"/>
    <w:rsid w:val="000C3928"/>
    <w:rsid w:val="000C5E8E"/>
    <w:rsid w:val="000E2012"/>
    <w:rsid w:val="000F4751"/>
    <w:rsid w:val="0010524C"/>
    <w:rsid w:val="001109FB"/>
    <w:rsid w:val="00111CA9"/>
    <w:rsid w:val="00111FB1"/>
    <w:rsid w:val="00113418"/>
    <w:rsid w:val="001165DA"/>
    <w:rsid w:val="001356F1"/>
    <w:rsid w:val="001368D3"/>
    <w:rsid w:val="00136994"/>
    <w:rsid w:val="0014128E"/>
    <w:rsid w:val="00151888"/>
    <w:rsid w:val="00170A2D"/>
    <w:rsid w:val="001808BC"/>
    <w:rsid w:val="00182B81"/>
    <w:rsid w:val="001837FE"/>
    <w:rsid w:val="0018619D"/>
    <w:rsid w:val="0019443E"/>
    <w:rsid w:val="00197028"/>
    <w:rsid w:val="001A011E"/>
    <w:rsid w:val="001A066A"/>
    <w:rsid w:val="001A13E6"/>
    <w:rsid w:val="001A5731"/>
    <w:rsid w:val="001B0915"/>
    <w:rsid w:val="001B42C3"/>
    <w:rsid w:val="001C3984"/>
    <w:rsid w:val="001C5D5E"/>
    <w:rsid w:val="001D678D"/>
    <w:rsid w:val="001E03F8"/>
    <w:rsid w:val="001E2997"/>
    <w:rsid w:val="001E3376"/>
    <w:rsid w:val="001E6BA9"/>
    <w:rsid w:val="001E7D4C"/>
    <w:rsid w:val="002069B3"/>
    <w:rsid w:val="00213C7D"/>
    <w:rsid w:val="002329CF"/>
    <w:rsid w:val="00232F5B"/>
    <w:rsid w:val="00244823"/>
    <w:rsid w:val="002472EE"/>
    <w:rsid w:val="00247C29"/>
    <w:rsid w:val="00260467"/>
    <w:rsid w:val="00263EA3"/>
    <w:rsid w:val="00284F85"/>
    <w:rsid w:val="00286DEC"/>
    <w:rsid w:val="00287679"/>
    <w:rsid w:val="00290915"/>
    <w:rsid w:val="002A22E2"/>
    <w:rsid w:val="002C398C"/>
    <w:rsid w:val="002C64F7"/>
    <w:rsid w:val="002E058C"/>
    <w:rsid w:val="002F04D3"/>
    <w:rsid w:val="002F348C"/>
    <w:rsid w:val="002F41F2"/>
    <w:rsid w:val="00301BF3"/>
    <w:rsid w:val="0030208D"/>
    <w:rsid w:val="00312A14"/>
    <w:rsid w:val="00316DAF"/>
    <w:rsid w:val="00323418"/>
    <w:rsid w:val="003357BF"/>
    <w:rsid w:val="003579A9"/>
    <w:rsid w:val="00364FAD"/>
    <w:rsid w:val="0036738F"/>
    <w:rsid w:val="0036759C"/>
    <w:rsid w:val="00367AE5"/>
    <w:rsid w:val="00367D71"/>
    <w:rsid w:val="0038150A"/>
    <w:rsid w:val="00393487"/>
    <w:rsid w:val="003935C1"/>
    <w:rsid w:val="003A087D"/>
    <w:rsid w:val="003A2FFE"/>
    <w:rsid w:val="003A4B16"/>
    <w:rsid w:val="003B256F"/>
    <w:rsid w:val="003B6E75"/>
    <w:rsid w:val="003B7FA6"/>
    <w:rsid w:val="003C3E6C"/>
    <w:rsid w:val="003C679B"/>
    <w:rsid w:val="003D0379"/>
    <w:rsid w:val="003D19D4"/>
    <w:rsid w:val="003D2574"/>
    <w:rsid w:val="003D477B"/>
    <w:rsid w:val="003D47B2"/>
    <w:rsid w:val="003D4C59"/>
    <w:rsid w:val="003D6352"/>
    <w:rsid w:val="003E35AC"/>
    <w:rsid w:val="003F4267"/>
    <w:rsid w:val="00404032"/>
    <w:rsid w:val="0040736F"/>
    <w:rsid w:val="00412C1F"/>
    <w:rsid w:val="00421CB2"/>
    <w:rsid w:val="004268B9"/>
    <w:rsid w:val="004332EE"/>
    <w:rsid w:val="00433B96"/>
    <w:rsid w:val="004346A1"/>
    <w:rsid w:val="004440F1"/>
    <w:rsid w:val="00444C3F"/>
    <w:rsid w:val="004456DD"/>
    <w:rsid w:val="00446CDF"/>
    <w:rsid w:val="004521B7"/>
    <w:rsid w:val="00462AB5"/>
    <w:rsid w:val="004646B3"/>
    <w:rsid w:val="00465EAF"/>
    <w:rsid w:val="004738C5"/>
    <w:rsid w:val="00491046"/>
    <w:rsid w:val="004944A3"/>
    <w:rsid w:val="00496FAD"/>
    <w:rsid w:val="004A2AC7"/>
    <w:rsid w:val="004A5337"/>
    <w:rsid w:val="004A6D2F"/>
    <w:rsid w:val="004B348B"/>
    <w:rsid w:val="004B5331"/>
    <w:rsid w:val="004C1C31"/>
    <w:rsid w:val="004C2887"/>
    <w:rsid w:val="004D2626"/>
    <w:rsid w:val="004D6284"/>
    <w:rsid w:val="004D6E26"/>
    <w:rsid w:val="004D710B"/>
    <w:rsid w:val="004D77D3"/>
    <w:rsid w:val="004E2959"/>
    <w:rsid w:val="004F20EF"/>
    <w:rsid w:val="004F437B"/>
    <w:rsid w:val="0050321C"/>
    <w:rsid w:val="00522E2C"/>
    <w:rsid w:val="00524648"/>
    <w:rsid w:val="00530F2D"/>
    <w:rsid w:val="00546942"/>
    <w:rsid w:val="0054712D"/>
    <w:rsid w:val="00547EF6"/>
    <w:rsid w:val="00550998"/>
    <w:rsid w:val="005570B5"/>
    <w:rsid w:val="00563FDF"/>
    <w:rsid w:val="00567E18"/>
    <w:rsid w:val="00575F5F"/>
    <w:rsid w:val="00581805"/>
    <w:rsid w:val="00585F76"/>
    <w:rsid w:val="00595F34"/>
    <w:rsid w:val="005A2220"/>
    <w:rsid w:val="005A34E4"/>
    <w:rsid w:val="005B17F2"/>
    <w:rsid w:val="005B7287"/>
    <w:rsid w:val="005B7FB0"/>
    <w:rsid w:val="005C119F"/>
    <w:rsid w:val="005C35A5"/>
    <w:rsid w:val="005C577C"/>
    <w:rsid w:val="005D0621"/>
    <w:rsid w:val="005D1E27"/>
    <w:rsid w:val="005E022E"/>
    <w:rsid w:val="005E361F"/>
    <w:rsid w:val="005E5215"/>
    <w:rsid w:val="005F7F7E"/>
    <w:rsid w:val="00614693"/>
    <w:rsid w:val="00623C2F"/>
    <w:rsid w:val="00627CA5"/>
    <w:rsid w:val="00632A88"/>
    <w:rsid w:val="00633578"/>
    <w:rsid w:val="00637068"/>
    <w:rsid w:val="00642543"/>
    <w:rsid w:val="00650299"/>
    <w:rsid w:val="00650811"/>
    <w:rsid w:val="00661D3E"/>
    <w:rsid w:val="0066325F"/>
    <w:rsid w:val="00692627"/>
    <w:rsid w:val="00695C14"/>
    <w:rsid w:val="006969E7"/>
    <w:rsid w:val="006A3643"/>
    <w:rsid w:val="006C2A29"/>
    <w:rsid w:val="006C64CF"/>
    <w:rsid w:val="006D17B1"/>
    <w:rsid w:val="006D6619"/>
    <w:rsid w:val="006D708A"/>
    <w:rsid w:val="006E14C1"/>
    <w:rsid w:val="006F0292"/>
    <w:rsid w:val="006F1881"/>
    <w:rsid w:val="006F416B"/>
    <w:rsid w:val="006F519B"/>
    <w:rsid w:val="0070273D"/>
    <w:rsid w:val="00702EDA"/>
    <w:rsid w:val="00713675"/>
    <w:rsid w:val="00715823"/>
    <w:rsid w:val="00737B93"/>
    <w:rsid w:val="00745BF0"/>
    <w:rsid w:val="00747260"/>
    <w:rsid w:val="00751DB6"/>
    <w:rsid w:val="007615FE"/>
    <w:rsid w:val="0076655C"/>
    <w:rsid w:val="007717F1"/>
    <w:rsid w:val="007742DC"/>
    <w:rsid w:val="0079103E"/>
    <w:rsid w:val="00791437"/>
    <w:rsid w:val="007A6E3C"/>
    <w:rsid w:val="007B0C2C"/>
    <w:rsid w:val="007B278E"/>
    <w:rsid w:val="007B386E"/>
    <w:rsid w:val="007C1201"/>
    <w:rsid w:val="007C5588"/>
    <w:rsid w:val="007C5C23"/>
    <w:rsid w:val="007E2A26"/>
    <w:rsid w:val="007E2EBB"/>
    <w:rsid w:val="007F2348"/>
    <w:rsid w:val="00803F07"/>
    <w:rsid w:val="0080749A"/>
    <w:rsid w:val="00821AAF"/>
    <w:rsid w:val="00821FB8"/>
    <w:rsid w:val="00822ACD"/>
    <w:rsid w:val="008416F0"/>
    <w:rsid w:val="00852C00"/>
    <w:rsid w:val="0085529E"/>
    <w:rsid w:val="00855C66"/>
    <w:rsid w:val="00871EE4"/>
    <w:rsid w:val="0087787F"/>
    <w:rsid w:val="008858F9"/>
    <w:rsid w:val="008B0A0B"/>
    <w:rsid w:val="008B293F"/>
    <w:rsid w:val="008B7371"/>
    <w:rsid w:val="008D3DDB"/>
    <w:rsid w:val="008D4BE8"/>
    <w:rsid w:val="008F573F"/>
    <w:rsid w:val="009034EC"/>
    <w:rsid w:val="00905DC7"/>
    <w:rsid w:val="009127CF"/>
    <w:rsid w:val="009138DD"/>
    <w:rsid w:val="00924676"/>
    <w:rsid w:val="009304B1"/>
    <w:rsid w:val="0093067A"/>
    <w:rsid w:val="00935A4B"/>
    <w:rsid w:val="009360C8"/>
    <w:rsid w:val="00941C60"/>
    <w:rsid w:val="00966D42"/>
    <w:rsid w:val="00971689"/>
    <w:rsid w:val="00973E90"/>
    <w:rsid w:val="00975B07"/>
    <w:rsid w:val="00980B4A"/>
    <w:rsid w:val="00984550"/>
    <w:rsid w:val="00994D7D"/>
    <w:rsid w:val="009A2B5D"/>
    <w:rsid w:val="009A2C46"/>
    <w:rsid w:val="009A4FF7"/>
    <w:rsid w:val="009B1C9C"/>
    <w:rsid w:val="009B40DF"/>
    <w:rsid w:val="009E3D0A"/>
    <w:rsid w:val="009E51FC"/>
    <w:rsid w:val="009F1D28"/>
    <w:rsid w:val="009F6648"/>
    <w:rsid w:val="009F7618"/>
    <w:rsid w:val="00A04D23"/>
    <w:rsid w:val="00A06766"/>
    <w:rsid w:val="00A13765"/>
    <w:rsid w:val="00A200B9"/>
    <w:rsid w:val="00A21172"/>
    <w:rsid w:val="00A21B12"/>
    <w:rsid w:val="00A23F80"/>
    <w:rsid w:val="00A44635"/>
    <w:rsid w:val="00A46E98"/>
    <w:rsid w:val="00A517EE"/>
    <w:rsid w:val="00A6352B"/>
    <w:rsid w:val="00A701B5"/>
    <w:rsid w:val="00A714BB"/>
    <w:rsid w:val="00A912C7"/>
    <w:rsid w:val="00A92D8F"/>
    <w:rsid w:val="00A970CB"/>
    <w:rsid w:val="00AB2988"/>
    <w:rsid w:val="00AB7999"/>
    <w:rsid w:val="00AC6F4C"/>
    <w:rsid w:val="00AD3292"/>
    <w:rsid w:val="00AE4793"/>
    <w:rsid w:val="00AE7826"/>
    <w:rsid w:val="00AE7AF0"/>
    <w:rsid w:val="00AF08D4"/>
    <w:rsid w:val="00B14DAC"/>
    <w:rsid w:val="00B20FF6"/>
    <w:rsid w:val="00B304C9"/>
    <w:rsid w:val="00B31C34"/>
    <w:rsid w:val="00B43D01"/>
    <w:rsid w:val="00B44AFE"/>
    <w:rsid w:val="00B500CA"/>
    <w:rsid w:val="00B51E7D"/>
    <w:rsid w:val="00B54CFF"/>
    <w:rsid w:val="00B558E1"/>
    <w:rsid w:val="00B55BBE"/>
    <w:rsid w:val="00B7799F"/>
    <w:rsid w:val="00B80699"/>
    <w:rsid w:val="00B828C4"/>
    <w:rsid w:val="00B86314"/>
    <w:rsid w:val="00BA1C2E"/>
    <w:rsid w:val="00BB3B7E"/>
    <w:rsid w:val="00BB6AEC"/>
    <w:rsid w:val="00BC144C"/>
    <w:rsid w:val="00BC200B"/>
    <w:rsid w:val="00BC2645"/>
    <w:rsid w:val="00BC3202"/>
    <w:rsid w:val="00BC4756"/>
    <w:rsid w:val="00BC69A4"/>
    <w:rsid w:val="00BE0680"/>
    <w:rsid w:val="00BE305F"/>
    <w:rsid w:val="00BE7BA3"/>
    <w:rsid w:val="00BF5682"/>
    <w:rsid w:val="00BF7B09"/>
    <w:rsid w:val="00C20361"/>
    <w:rsid w:val="00C20A95"/>
    <w:rsid w:val="00C23F9E"/>
    <w:rsid w:val="00C2692F"/>
    <w:rsid w:val="00C3207C"/>
    <w:rsid w:val="00C349E4"/>
    <w:rsid w:val="00C400E1"/>
    <w:rsid w:val="00C41187"/>
    <w:rsid w:val="00C44D18"/>
    <w:rsid w:val="00C50494"/>
    <w:rsid w:val="00C63C31"/>
    <w:rsid w:val="00C757A0"/>
    <w:rsid w:val="00C760DE"/>
    <w:rsid w:val="00C82630"/>
    <w:rsid w:val="00C837E7"/>
    <w:rsid w:val="00C85B4E"/>
    <w:rsid w:val="00C907F7"/>
    <w:rsid w:val="00CA2103"/>
    <w:rsid w:val="00CB5BC0"/>
    <w:rsid w:val="00CB647A"/>
    <w:rsid w:val="00CB6B99"/>
    <w:rsid w:val="00CC5157"/>
    <w:rsid w:val="00CD1511"/>
    <w:rsid w:val="00CD7656"/>
    <w:rsid w:val="00CE4C87"/>
    <w:rsid w:val="00CE544A"/>
    <w:rsid w:val="00CE5832"/>
    <w:rsid w:val="00D11E1C"/>
    <w:rsid w:val="00D160B0"/>
    <w:rsid w:val="00D17F94"/>
    <w:rsid w:val="00D223FC"/>
    <w:rsid w:val="00D23C10"/>
    <w:rsid w:val="00D252C0"/>
    <w:rsid w:val="00D26D1E"/>
    <w:rsid w:val="00D474CF"/>
    <w:rsid w:val="00D47648"/>
    <w:rsid w:val="00D5547E"/>
    <w:rsid w:val="00D65B6C"/>
    <w:rsid w:val="00D6683E"/>
    <w:rsid w:val="00DA25BE"/>
    <w:rsid w:val="00DA413F"/>
    <w:rsid w:val="00DA4584"/>
    <w:rsid w:val="00DA614B"/>
    <w:rsid w:val="00DA7B94"/>
    <w:rsid w:val="00DC3060"/>
    <w:rsid w:val="00DC5D6F"/>
    <w:rsid w:val="00DE0FB2"/>
    <w:rsid w:val="00DF0620"/>
    <w:rsid w:val="00DF093E"/>
    <w:rsid w:val="00E01F42"/>
    <w:rsid w:val="00E0724D"/>
    <w:rsid w:val="00E206D6"/>
    <w:rsid w:val="00E32416"/>
    <w:rsid w:val="00E3366E"/>
    <w:rsid w:val="00E34014"/>
    <w:rsid w:val="00E351A0"/>
    <w:rsid w:val="00E42CD9"/>
    <w:rsid w:val="00E52086"/>
    <w:rsid w:val="00E5346E"/>
    <w:rsid w:val="00E543A6"/>
    <w:rsid w:val="00E60479"/>
    <w:rsid w:val="00E61D73"/>
    <w:rsid w:val="00E73684"/>
    <w:rsid w:val="00E818D6"/>
    <w:rsid w:val="00E87F7A"/>
    <w:rsid w:val="00E96BD7"/>
    <w:rsid w:val="00EA0DB1"/>
    <w:rsid w:val="00EA0EE9"/>
    <w:rsid w:val="00EB13FB"/>
    <w:rsid w:val="00EB5CB5"/>
    <w:rsid w:val="00EC0F2D"/>
    <w:rsid w:val="00ED16B1"/>
    <w:rsid w:val="00ED52CA"/>
    <w:rsid w:val="00ED5860"/>
    <w:rsid w:val="00EE35C9"/>
    <w:rsid w:val="00F05ECA"/>
    <w:rsid w:val="00F20014"/>
    <w:rsid w:val="00F3566E"/>
    <w:rsid w:val="00F375FB"/>
    <w:rsid w:val="00F41AC1"/>
    <w:rsid w:val="00F4367A"/>
    <w:rsid w:val="00F445B1"/>
    <w:rsid w:val="00F45CD4"/>
    <w:rsid w:val="00F66DCA"/>
    <w:rsid w:val="00F70148"/>
    <w:rsid w:val="00F74F53"/>
    <w:rsid w:val="00F7606D"/>
    <w:rsid w:val="00F81670"/>
    <w:rsid w:val="00F82024"/>
    <w:rsid w:val="00F8217B"/>
    <w:rsid w:val="00F83746"/>
    <w:rsid w:val="00F95BC9"/>
    <w:rsid w:val="00FA0125"/>
    <w:rsid w:val="00FA624C"/>
    <w:rsid w:val="00FD0FAC"/>
    <w:rsid w:val="00FD1DFA"/>
    <w:rsid w:val="00FD4966"/>
    <w:rsid w:val="00FD7C0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562E10"/>
  <w15:chartTrackingRefBased/>
  <w15:docId w15:val="{29B2C302-0797-4177-AF5B-F7746099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uiPriority="11" w:qFormat="1"/>
    <w:lsdException w:name="Hyperlink"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8416F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rsid w:val="00E96BD7"/>
    <w:pPr>
      <w:spacing w:after="120"/>
    </w:pPr>
    <w:rPr>
      <w:color w:val="000000"/>
      <w:sz w:val="24"/>
      <w:szCs w:val="24"/>
      <w:lang w:eastAsia="en-US"/>
    </w:rPr>
  </w:style>
  <w:style w:type="paragraph" w:customStyle="1" w:styleId="ColorfulList-Accent11">
    <w:name w:val="Colorful List - Accent 11"/>
    <w:basedOn w:val="Normal"/>
    <w:link w:val="ColorfulList-Accent1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DarkList-Accent2">
    <w:name w:val="Dark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olorfulShading-Accent11">
    <w:name w:val="Colorful Shading - Accent 11"/>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customStyle="1" w:styleId="ColorfulGrid-Accent11">
    <w:name w:val="Colorful Grid - Accent 11"/>
    <w:basedOn w:val="Normal"/>
    <w:next w:val="Normal"/>
    <w:link w:val="ColorfulGrid-Accent1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ColorfulGrid-Accent1Char">
    <w:name w:val="Colorful Grid - Accent 1 Char"/>
    <w:link w:val="ColorfulGrid-Accent11"/>
    <w:uiPriority w:val="29"/>
    <w:rsid w:val="004A6D2F"/>
    <w:rPr>
      <w:rFonts w:ascii="Arial" w:hAnsi="Arial"/>
      <w:i/>
      <w:iCs/>
      <w:color w:val="000000"/>
      <w:sz w:val="24"/>
      <w:szCs w:val="24"/>
      <w:lang w:eastAsia="en-US"/>
    </w:rPr>
  </w:style>
  <w:style w:type="paragraph" w:styleId="ListParagraph">
    <w:name w:val="List Paragraph"/>
    <w:basedOn w:val="Normal"/>
    <w:uiPriority w:val="34"/>
    <w:qFormat/>
    <w:rsid w:val="003935C1"/>
    <w:pPr>
      <w:widowControl w:val="0"/>
      <w:autoSpaceDE w:val="0"/>
      <w:autoSpaceDN w:val="0"/>
      <w:spacing w:before="54" w:after="0"/>
      <w:ind w:left="763" w:hanging="360"/>
    </w:pPr>
    <w:rPr>
      <w:rFonts w:ascii="Calibri" w:eastAsia="Calibri" w:hAnsi="Calibri" w:cs="Calibri"/>
      <w:color w:val="auto"/>
      <w:sz w:val="22"/>
      <w:szCs w:val="22"/>
      <w:lang w:bidi="en-GB"/>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ColorfulList-Accent11"/>
    <w:link w:val="bParagraphtextChar"/>
    <w:qFormat/>
    <w:rsid w:val="004268B9"/>
  </w:style>
  <w:style w:type="paragraph" w:styleId="Caption">
    <w:name w:val="caption"/>
    <w:basedOn w:val="Normal"/>
    <w:next w:val="Normal"/>
    <w:qFormat/>
    <w:rsid w:val="0093067A"/>
    <w:pPr>
      <w:spacing w:before="120"/>
      <w:jc w:val="center"/>
    </w:pPr>
    <w:rPr>
      <w:b/>
      <w:bCs/>
      <w:sz w:val="20"/>
      <w:szCs w:val="20"/>
    </w:rPr>
  </w:style>
  <w:style w:type="character" w:customStyle="1" w:styleId="ColorfulList-Accent1Char">
    <w:name w:val="Colorful List - Accent 1 Char"/>
    <w:link w:val="ColorfulList-Accent11"/>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Heading3Char">
    <w:name w:val="Heading 3 Char"/>
    <w:link w:val="Heading3"/>
    <w:semiHidden/>
    <w:rsid w:val="008416F0"/>
    <w:rPr>
      <w:rFonts w:ascii="Calibri Light" w:eastAsia="Times New Roman" w:hAnsi="Calibri Light" w:cs="Times New Roman"/>
      <w:b/>
      <w:bCs/>
      <w:color w:val="000000"/>
      <w:sz w:val="26"/>
      <w:szCs w:val="26"/>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Revision">
    <w:name w:val="Revision"/>
    <w:hidden/>
    <w:uiPriority w:val="99"/>
    <w:semiHidden/>
    <w:rsid w:val="001837F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536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2689498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9459631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006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ight.oxfordshire.gov.uk/cms/system/files/documents/OxonSIA2023_FINAL.pdf"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ublic.tableau.com/views/OxfordshireCrimeDashboard/Explorelocal?embed=y%3Adisplay_count&amp;%3AshowVizHome=no%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CRT Cases Logged from Jan to Dec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8F-4D26-934C-853E748891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8F-4D26-934C-853E7488910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38F-4D26-934C-853E7488910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38F-4D26-934C-853E748891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'[Cases Logged by Question and Answer.xlsx]Sheet1'!$N$4:$N$7</c:f>
              <c:strCache>
                <c:ptCount val="4"/>
                <c:pt idx="0">
                  <c:v>ASB - Incident</c:v>
                </c:pt>
                <c:pt idx="1">
                  <c:v>CRT - ASB</c:v>
                </c:pt>
                <c:pt idx="2">
                  <c:v>CRT - Environmental</c:v>
                </c:pt>
                <c:pt idx="3">
                  <c:v>CRT - Noise</c:v>
                </c:pt>
              </c:strCache>
            </c:strRef>
          </c:cat>
          <c:val>
            <c:numRef>
              <c:f>'[Cases Logged by Question and Answer.xlsx]Sheet1'!$O$4:$O$7</c:f>
              <c:numCache>
                <c:formatCode>General</c:formatCode>
                <c:ptCount val="4"/>
                <c:pt idx="0">
                  <c:v>7</c:v>
                </c:pt>
                <c:pt idx="1">
                  <c:v>31</c:v>
                </c:pt>
                <c:pt idx="2">
                  <c:v>1111</c:v>
                </c:pt>
                <c:pt idx="3">
                  <c:v>1388</c:v>
                </c:pt>
              </c:numCache>
            </c:numRef>
          </c:val>
          <c:extLst>
            <c:ext xmlns:c16="http://schemas.microsoft.com/office/drawing/2014/chart" uri="{C3380CC4-5D6E-409C-BE32-E72D297353CC}">
              <c16:uniqueId val="{00000008-C38F-4D26-934C-853E7488910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CRT</a:t>
            </a:r>
            <a:r>
              <a:rPr lang="en-US" sz="1000" baseline="0"/>
              <a:t> cases by type - 2022</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'[Cases Logged by Question and Answer.xlsx]Sheet1'!$C$31</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'[Cases Logged by Question and Answer.xlsx]Sheet1'!$B$32:$B$49</c:f>
              <c:strCache>
                <c:ptCount val="18"/>
                <c:pt idx="0">
                  <c:v>Miscellaneous</c:v>
                </c:pt>
                <c:pt idx="1">
                  <c:v>Streetwise</c:v>
                </c:pt>
                <c:pt idx="2">
                  <c:v>Bonfires</c:v>
                </c:pt>
                <c:pt idx="3">
                  <c:v>Commercial Waste</c:v>
                </c:pt>
                <c:pt idx="4">
                  <c:v>Domestic Waste</c:v>
                </c:pt>
                <c:pt idx="5">
                  <c:v>Fly Tipping</c:v>
                </c:pt>
                <c:pt idx="6">
                  <c:v>Littering</c:v>
                </c:pt>
                <c:pt idx="7">
                  <c:v>Public Place Other</c:v>
                </c:pt>
                <c:pt idx="8">
                  <c:v>Enviro Other</c:v>
                </c:pt>
                <c:pt idx="9">
                  <c:v>Waste in Gardens</c:v>
                </c:pt>
                <c:pt idx="10">
                  <c:v>Dog Fouling</c:v>
                </c:pt>
                <c:pt idx="11">
                  <c:v>Alarms</c:v>
                </c:pt>
                <c:pt idx="12">
                  <c:v>Buskers</c:v>
                </c:pt>
                <c:pt idx="13">
                  <c:v>Dogs</c:v>
                </c:pt>
                <c:pt idx="14">
                  <c:v>DIY Domestic</c:v>
                </c:pt>
                <c:pt idx="15">
                  <c:v>Party</c:v>
                </c:pt>
                <c:pt idx="16">
                  <c:v>People</c:v>
                </c:pt>
                <c:pt idx="17">
                  <c:v>Other</c:v>
                </c:pt>
              </c:strCache>
            </c:strRef>
          </c:cat>
          <c:val>
            <c:numRef>
              <c:f>'[Cases Logged by Question and Answer.xlsx]Sheet1'!$C$32:$C$49</c:f>
              <c:numCache>
                <c:formatCode>0</c:formatCode>
                <c:ptCount val="18"/>
                <c:pt idx="0" formatCode="General">
                  <c:v>8</c:v>
                </c:pt>
                <c:pt idx="1">
                  <c:v>30</c:v>
                </c:pt>
                <c:pt idx="2">
                  <c:v>90</c:v>
                </c:pt>
                <c:pt idx="3">
                  <c:v>218</c:v>
                </c:pt>
                <c:pt idx="4">
                  <c:v>214</c:v>
                </c:pt>
                <c:pt idx="5">
                  <c:v>224</c:v>
                </c:pt>
                <c:pt idx="6">
                  <c:v>76</c:v>
                </c:pt>
                <c:pt idx="7">
                  <c:v>18</c:v>
                </c:pt>
                <c:pt idx="8">
                  <c:v>86</c:v>
                </c:pt>
                <c:pt idx="9">
                  <c:v>157</c:v>
                </c:pt>
                <c:pt idx="10">
                  <c:v>28</c:v>
                </c:pt>
                <c:pt idx="11">
                  <c:v>33</c:v>
                </c:pt>
                <c:pt idx="12">
                  <c:v>5</c:v>
                </c:pt>
                <c:pt idx="13">
                  <c:v>165</c:v>
                </c:pt>
                <c:pt idx="14">
                  <c:v>44</c:v>
                </c:pt>
                <c:pt idx="15">
                  <c:v>466</c:v>
                </c:pt>
                <c:pt idx="16">
                  <c:v>480</c:v>
                </c:pt>
                <c:pt idx="17">
                  <c:v>195</c:v>
                </c:pt>
              </c:numCache>
            </c:numRef>
          </c:val>
          <c:extLst>
            <c:ext xmlns:c16="http://schemas.microsoft.com/office/drawing/2014/chart" uri="{C3380CC4-5D6E-409C-BE32-E72D297353CC}">
              <c16:uniqueId val="{00000000-C038-4897-B47B-533B9C3867E8}"/>
            </c:ext>
          </c:extLst>
        </c:ser>
        <c:dLbls>
          <c:dLblPos val="outEnd"/>
          <c:showLegendKey val="0"/>
          <c:showVal val="1"/>
          <c:showCatName val="0"/>
          <c:showSerName val="0"/>
          <c:showPercent val="0"/>
          <c:showBubbleSize val="0"/>
        </c:dLbls>
        <c:gapWidth val="219"/>
        <c:overlap val="-27"/>
        <c:axId val="733324944"/>
        <c:axId val="733324552"/>
      </c:barChart>
      <c:catAx>
        <c:axId val="73332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33324552"/>
        <c:crosses val="autoZero"/>
        <c:auto val="1"/>
        <c:lblAlgn val="ctr"/>
        <c:lblOffset val="100"/>
        <c:noMultiLvlLbl val="0"/>
      </c:catAx>
      <c:valAx>
        <c:axId val="733324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32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ASBIT - No of Cases from Jan to Dec 2022 </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'[Cases Logged by Question and Answer.xlsx]Sheet1'!$Q$13:$Q$14</c:f>
              <c:strCache>
                <c:ptCount val="2"/>
                <c:pt idx="0">
                  <c:v>ASBIT - No of Cases from Jan to Dec 2022</c:v>
                </c:pt>
                <c:pt idx="1">
                  <c:v>Nos</c:v>
                </c:pt>
              </c:strCache>
            </c:strRef>
          </c:tx>
          <c:spPr>
            <a:solidFill>
              <a:schemeClr val="accent1"/>
            </a:solidFill>
            <a:ln>
              <a:noFill/>
            </a:ln>
            <a:effectLst/>
          </c:spPr>
          <c:invertIfNegative val="0"/>
          <c:cat>
            <c:strRef>
              <c:f>'[Cases Logged by Question and Answer.xlsx]Sheet1'!$P$15:$P$26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'[Cases Logged by Question and Answer.xlsx]Sheet1'!$Q$15:$Q$26</c:f>
              <c:numCache>
                <c:formatCode>General</c:formatCode>
                <c:ptCount val="12"/>
                <c:pt idx="0">
                  <c:v>29</c:v>
                </c:pt>
                <c:pt idx="1">
                  <c:v>24</c:v>
                </c:pt>
                <c:pt idx="2">
                  <c:v>40</c:v>
                </c:pt>
                <c:pt idx="3">
                  <c:v>25</c:v>
                </c:pt>
                <c:pt idx="4">
                  <c:v>37</c:v>
                </c:pt>
                <c:pt idx="5">
                  <c:v>35</c:v>
                </c:pt>
                <c:pt idx="6">
                  <c:v>43</c:v>
                </c:pt>
                <c:pt idx="7">
                  <c:v>48</c:v>
                </c:pt>
                <c:pt idx="8">
                  <c:v>21</c:v>
                </c:pt>
                <c:pt idx="9">
                  <c:v>30</c:v>
                </c:pt>
                <c:pt idx="10">
                  <c:v>26</c:v>
                </c:pt>
                <c:pt idx="11">
                  <c:v>22</c:v>
                </c:pt>
              </c:numCache>
            </c:numRef>
          </c:val>
          <c:extLst>
            <c:ext xmlns:c16="http://schemas.microsoft.com/office/drawing/2014/chart" uri="{C3380CC4-5D6E-409C-BE32-E72D297353CC}">
              <c16:uniqueId val="{00000000-9270-4A35-AD64-C259D326C9B9}"/>
            </c:ext>
          </c:extLst>
        </c:ser>
        <c:dLbls>
          <c:showLegendKey val="0"/>
          <c:showVal val="0"/>
          <c:showCatName val="0"/>
          <c:showSerName val="0"/>
          <c:showPercent val="0"/>
          <c:showBubbleSize val="0"/>
        </c:dLbls>
        <c:gapWidth val="219"/>
        <c:overlap val="-27"/>
        <c:axId val="738244904"/>
        <c:axId val="738245688"/>
      </c:barChart>
      <c:catAx>
        <c:axId val="738244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245688"/>
        <c:crosses val="autoZero"/>
        <c:auto val="1"/>
        <c:lblAlgn val="ctr"/>
        <c:lblOffset val="100"/>
        <c:noMultiLvlLbl val="0"/>
      </c:catAx>
      <c:valAx>
        <c:axId val="738245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244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7FCE-8704-4D3F-AC95-5C291753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1749</Words>
  <Characters>9974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BROWN Lucy</cp:lastModifiedBy>
  <cp:revision>2</cp:revision>
  <cp:lastPrinted>2019-07-05T14:56:00Z</cp:lastPrinted>
  <dcterms:created xsi:type="dcterms:W3CDTF">2023-11-16T15:35:00Z</dcterms:created>
  <dcterms:modified xsi:type="dcterms:W3CDTF">2023-11-16T15:35:00Z</dcterms:modified>
</cp:coreProperties>
</file>